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6E3E6276" w14:textId="77777777" w:rsidTr="004A108D">
        <w:trPr>
          <w:jc w:val="center"/>
        </w:trPr>
        <w:tc>
          <w:tcPr>
            <w:tcW w:w="1641" w:type="dxa"/>
          </w:tcPr>
          <w:p w14:paraId="6E89FF7D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816DFA4" wp14:editId="508E8AF1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3F1B5147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1609D5CE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125BFE7B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6A544865" w14:textId="03CD8620" w:rsidR="000F4893" w:rsidRPr="00D360D8" w:rsidRDefault="00197046">
      <w:pPr>
        <w:rPr>
          <w:sz w:val="8"/>
        </w:rPr>
      </w:pPr>
      <w:r>
        <w:rPr>
          <w:sz w:val="8"/>
        </w:rPr>
        <w:t xml:space="preserve"> </w:t>
      </w:r>
    </w:p>
    <w:p w14:paraId="3E6A2A86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677159" w14:paraId="291A782C" w14:textId="77777777" w:rsidTr="00931234">
        <w:tc>
          <w:tcPr>
            <w:tcW w:w="3261" w:type="dxa"/>
          </w:tcPr>
          <w:p w14:paraId="09EE3CBC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139CBAE9" w14:textId="31C7814D" w:rsidR="0062160E" w:rsidRPr="00677159" w:rsidRDefault="008632BE">
            <w:p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i/>
                <w:iCs/>
                <w:sz w:val="24"/>
                <w:szCs w:val="24"/>
              </w:rPr>
              <w:t>Marketing Communication</w:t>
            </w:r>
          </w:p>
        </w:tc>
        <w:tc>
          <w:tcPr>
            <w:tcW w:w="2693" w:type="dxa"/>
          </w:tcPr>
          <w:p w14:paraId="7EBB4279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70F2273F" w14:textId="02B11C7A" w:rsidR="0062160E" w:rsidRPr="00677159" w:rsidRDefault="008632B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sz w:val="24"/>
                <w:szCs w:val="24"/>
              </w:rPr>
              <w:t>VI</w:t>
            </w:r>
            <w:r w:rsidR="00070269" w:rsidRPr="00677159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r w:rsidRPr="00677159">
              <w:rPr>
                <w:rFonts w:ascii="Cambria Math" w:hAnsi="Cambria Math" w:cs="Times New Roman"/>
                <w:sz w:val="24"/>
                <w:szCs w:val="24"/>
              </w:rPr>
              <w:t>Enam</w:t>
            </w:r>
            <w:r w:rsidR="0062160E" w:rsidRPr="00677159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4D88F81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30605D4" w14:textId="77777777" w:rsidR="0062160E" w:rsidRPr="00677159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677159" w14:paraId="7467A387" w14:textId="77777777" w:rsidTr="00931234">
        <w:tc>
          <w:tcPr>
            <w:tcW w:w="3261" w:type="dxa"/>
          </w:tcPr>
          <w:p w14:paraId="778107DF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2C17F8B0" w14:textId="5F154092" w:rsidR="0062160E" w:rsidRPr="00677159" w:rsidRDefault="008632B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sz w:val="24"/>
                <w:szCs w:val="24"/>
              </w:rPr>
              <w:t>106102658</w:t>
            </w:r>
          </w:p>
        </w:tc>
        <w:tc>
          <w:tcPr>
            <w:tcW w:w="2693" w:type="dxa"/>
          </w:tcPr>
          <w:p w14:paraId="2EAC4963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22881F74" w14:textId="77777777" w:rsidR="0062160E" w:rsidRPr="00677159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677159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5B2B595D" w14:textId="77777777" w:rsidR="0062160E" w:rsidRPr="00677159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677159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E7688B8" w14:textId="1EBC9D81" w:rsidR="00473314" w:rsidRPr="00677159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46F96415" w14:textId="77777777" w:rsidR="0062160E" w:rsidRPr="00677159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677159" w14:paraId="2CCD5F5B" w14:textId="77777777" w:rsidTr="00931234">
        <w:tc>
          <w:tcPr>
            <w:tcW w:w="1951" w:type="dxa"/>
          </w:tcPr>
          <w:p w14:paraId="68816526" w14:textId="77777777" w:rsidR="007C0DB5" w:rsidRPr="00677159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471255BF" w14:textId="77777777" w:rsidR="007C0DB5" w:rsidRPr="00677159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25704C4B" w14:textId="77777777" w:rsidR="007C0DB5" w:rsidRPr="00677159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602B8CCC" w14:textId="77777777" w:rsidR="007C0DB5" w:rsidRPr="00677159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01C546C1" w14:textId="77777777" w:rsidR="002F4BB5" w:rsidRPr="00677159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08380906" w14:textId="77777777" w:rsidR="007C0DB5" w:rsidRPr="00677159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68BED36B" w14:textId="77777777" w:rsidR="007C0DB5" w:rsidRPr="00677159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77159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77159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77159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77159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677159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677159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677159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6771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677159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677159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7BC18F18" w14:textId="77777777" w:rsidR="007C0DB5" w:rsidRPr="00677159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677159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4B9B7777" w14:textId="77777777" w:rsidR="00862C8A" w:rsidRPr="00677159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2642F1DD" w14:textId="77777777" w:rsidR="00862C8A" w:rsidRPr="00677159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14578C2" w14:textId="77777777" w:rsidR="00862C8A" w:rsidRPr="00677159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1136A3A4" w14:textId="77777777" w:rsidR="007C0DB5" w:rsidRPr="00677159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7830731C" w14:textId="77777777" w:rsidR="007C0DB5" w:rsidRPr="00677159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677159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75BD03A3" w14:textId="77777777" w:rsidR="00852E7F" w:rsidRPr="00677159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6F4177D4" w14:textId="77777777" w:rsidR="005C08FF" w:rsidRPr="00677159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3D9EE458" w14:textId="77777777" w:rsidR="007C0DB5" w:rsidRPr="00677159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677159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3AAE634" w14:textId="77777777" w:rsidR="007C0DB5" w:rsidRPr="00677159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677159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677159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677159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1E4E1164" w14:textId="77777777" w:rsidR="00852E7F" w:rsidRPr="00677159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33FDDB28" w14:textId="77777777" w:rsidR="00A04942" w:rsidRPr="00677159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677159" w14:paraId="70A2B26D" w14:textId="77777777" w:rsidTr="00931234">
        <w:tc>
          <w:tcPr>
            <w:tcW w:w="1951" w:type="dxa"/>
          </w:tcPr>
          <w:p w14:paraId="5DCFE705" w14:textId="77777777" w:rsidR="007C0DB5" w:rsidRPr="00677159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677159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0BDE972B" w14:textId="77777777" w:rsidR="007C0DB5" w:rsidRPr="00677159" w:rsidRDefault="007C0DB5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bertanggung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profesional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etik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677159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="00435A6E"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559F2C2" w14:textId="77777777" w:rsidR="00435A6E" w:rsidRPr="00677159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personalia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6C2E7C7" w14:textId="77777777" w:rsidR="00435A6E" w:rsidRPr="00677159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E4274F7" w14:textId="77777777" w:rsidR="00435A6E" w:rsidRPr="00677159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68DFFFE" w14:textId="77777777" w:rsidR="00435A6E" w:rsidRPr="00677159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memecahkan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C0DB5" w:rsidRPr="00677159" w14:paraId="1CF3AA26" w14:textId="77777777" w:rsidTr="00931234">
        <w:tc>
          <w:tcPr>
            <w:tcW w:w="1951" w:type="dxa"/>
          </w:tcPr>
          <w:p w14:paraId="2CA3E2CE" w14:textId="77777777" w:rsidR="007C0DB5" w:rsidRPr="00677159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2640BF32" w14:textId="58DAC312" w:rsidR="007C0DB5" w:rsidRPr="00677159" w:rsidRDefault="00197046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dirancang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membekali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periklanan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aplikasinya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media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mendukung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rencana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web dan public relation dan personal selling. Pada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akhirnya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keseluruhan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tersebut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diketahui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dampaknya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riset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Kemudian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mempelajari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teori-teori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sehingga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menjadi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bekal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menghadapi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dunia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</w:tc>
      </w:tr>
      <w:tr w:rsidR="007C0DB5" w:rsidRPr="00677159" w14:paraId="2AB99376" w14:textId="77777777" w:rsidTr="00931234">
        <w:tc>
          <w:tcPr>
            <w:tcW w:w="1951" w:type="dxa"/>
          </w:tcPr>
          <w:p w14:paraId="4AD32422" w14:textId="77777777" w:rsidR="007C0DB5" w:rsidRPr="00677159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677159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 w:rsidRPr="00677159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11E0C43" w14:textId="77777777" w:rsidR="00841995" w:rsidRPr="00677159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65E72E8C" w14:textId="77777777" w:rsidR="008632BE" w:rsidRPr="00677159" w:rsidRDefault="008632BE" w:rsidP="008632BE">
            <w:pPr>
              <w:pStyle w:val="ListParagraph"/>
              <w:numPr>
                <w:ilvl w:val="0"/>
                <w:numId w:val="15"/>
              </w:numPr>
              <w:ind w:left="315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Copley, Paul. 2004. Marketing Communications Management: Concepts and Theories, Cases and Practice (CP)</w:t>
            </w:r>
          </w:p>
          <w:p w14:paraId="69348E62" w14:textId="4D9EF343" w:rsidR="0001274A" w:rsidRPr="00677159" w:rsidRDefault="0001274A" w:rsidP="0001274A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</w:p>
          <w:p w14:paraId="7E24975A" w14:textId="77777777" w:rsidR="008632BE" w:rsidRPr="00677159" w:rsidRDefault="008632BE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 xml:space="preserve">Brannan, Tom. 2004. Integrated Marketing Communications. Jakarta: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Penerbit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PPM. (BT) Kennedy, John E. Dan R.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Dermawan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Soemanagara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2006. Jakarta: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Bhuana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Populer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4CD155E" w14:textId="5CCF4816" w:rsidR="00E30562" w:rsidRPr="00677159" w:rsidRDefault="008632BE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(KJ) Sulaksana,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Uyung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2003, Integrated Marketing Communications. Yogyakarta: Pustaka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Pelajar</w:t>
            </w:r>
            <w:proofErr w:type="spellEnd"/>
          </w:p>
        </w:tc>
      </w:tr>
    </w:tbl>
    <w:p w14:paraId="2C5AE751" w14:textId="77777777" w:rsidR="00D360D8" w:rsidRPr="00677159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3668D2E9" w14:textId="77777777" w:rsidR="007C0DB5" w:rsidRPr="00677159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677159">
        <w:rPr>
          <w:rFonts w:ascii="Cambria Math" w:hAnsi="Cambria Math"/>
          <w:sz w:val="24"/>
          <w:szCs w:val="24"/>
        </w:rPr>
        <w:t>Rencana</w:t>
      </w:r>
      <w:proofErr w:type="spellEnd"/>
      <w:r w:rsidRPr="0067715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77159">
        <w:rPr>
          <w:rFonts w:ascii="Cambria Math" w:hAnsi="Cambria Math"/>
          <w:sz w:val="24"/>
          <w:szCs w:val="24"/>
        </w:rPr>
        <w:t>Pembelajaran</w:t>
      </w:r>
      <w:proofErr w:type="spellEnd"/>
      <w:r w:rsidRPr="00677159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677159" w14:paraId="5C053B6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E700F3B" w14:textId="77777777" w:rsidR="00261F00" w:rsidRPr="00677159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677159" w14:paraId="4F6C6F9F" w14:textId="77777777" w:rsidTr="00931234">
        <w:tc>
          <w:tcPr>
            <w:tcW w:w="3227" w:type="dxa"/>
          </w:tcPr>
          <w:p w14:paraId="4FC59B24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E8D371D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struktur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belajar.</w:t>
            </w:r>
          </w:p>
          <w:p w14:paraId="2C2C3DF5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kondisi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terkini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2508545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pemasaran dan </w:t>
            </w:r>
            <w:r w:rsidRPr="00677159">
              <w:rPr>
                <w:rFonts w:ascii="Cambria Math" w:hAnsi="Cambria Math"/>
                <w:i/>
                <w:iCs/>
                <w:sz w:val="24"/>
                <w:szCs w:val="24"/>
              </w:rPr>
              <w:t>strategic marketing</w:t>
            </w:r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ADD860C" w14:textId="7E9F3E2E" w:rsidR="00852E7F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677159" w14:paraId="747CCCB2" w14:textId="77777777" w:rsidTr="00931234">
        <w:tc>
          <w:tcPr>
            <w:tcW w:w="3227" w:type="dxa"/>
          </w:tcPr>
          <w:p w14:paraId="0E030AF2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5C793C6" w14:textId="24377783" w:rsidR="00852E7F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852E7F" w:rsidRPr="00677159" w14:paraId="14666C7C" w14:textId="77777777" w:rsidTr="00931234">
        <w:tc>
          <w:tcPr>
            <w:tcW w:w="3227" w:type="dxa"/>
          </w:tcPr>
          <w:p w14:paraId="72C5CA96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8F9DB7F" w14:textId="63D12751" w:rsidR="00852E7F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RPS,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Pembagian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i/>
                <w:iCs/>
                <w:sz w:val="24"/>
                <w:szCs w:val="24"/>
              </w:rPr>
              <w:t>Introduction to marketing Communication and relation to Integrated marketing communication</w:t>
            </w:r>
          </w:p>
        </w:tc>
      </w:tr>
      <w:tr w:rsidR="00852E7F" w:rsidRPr="00677159" w14:paraId="76A4278A" w14:textId="77777777" w:rsidTr="00931234">
        <w:tc>
          <w:tcPr>
            <w:tcW w:w="3227" w:type="dxa"/>
          </w:tcPr>
          <w:p w14:paraId="385C8041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71E7610" w14:textId="1EC85793" w:rsidR="00852E7F" w:rsidRPr="00677159" w:rsidRDefault="00197046" w:rsidP="00261F00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kegiatan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praktek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2E7F" w:rsidRPr="00677159" w14:paraId="7C1A9586" w14:textId="77777777" w:rsidTr="00931234">
        <w:tc>
          <w:tcPr>
            <w:tcW w:w="3227" w:type="dxa"/>
          </w:tcPr>
          <w:p w14:paraId="128DD046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690625E" w14:textId="176F81E3" w:rsidR="00852E7F" w:rsidRPr="00677159" w:rsidRDefault="006F34C6" w:rsidP="006F34C6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852E7F" w:rsidRPr="00677159" w14:paraId="23004168" w14:textId="77777777" w:rsidTr="00931234">
        <w:tc>
          <w:tcPr>
            <w:tcW w:w="3227" w:type="dxa"/>
          </w:tcPr>
          <w:p w14:paraId="22E72CAB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F5B3DA4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A58A627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5EAFD6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0782EC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2368E4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A09851" w14:textId="71FCD48A" w:rsidR="00852E7F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852E7F" w:rsidRPr="00677159" w14:paraId="5C2226C6" w14:textId="77777777" w:rsidTr="00931234">
        <w:tc>
          <w:tcPr>
            <w:tcW w:w="3227" w:type="dxa"/>
          </w:tcPr>
          <w:p w14:paraId="5BD9EE6C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29C958D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677159" w14:paraId="019514EA" w14:textId="77777777" w:rsidTr="00931234">
        <w:tc>
          <w:tcPr>
            <w:tcW w:w="3227" w:type="dxa"/>
          </w:tcPr>
          <w:p w14:paraId="253670FE" w14:textId="77777777" w:rsidR="00852E7F" w:rsidRPr="00677159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4998BCD" w14:textId="06A04BE4" w:rsidR="00852E7F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261F00" w:rsidRPr="00677159" w14:paraId="498B0F7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F4FF587" w14:textId="77777777" w:rsidR="00261F00" w:rsidRPr="00677159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677159" w14:paraId="5CB590D9" w14:textId="77777777" w:rsidTr="00931234">
        <w:tc>
          <w:tcPr>
            <w:tcW w:w="3227" w:type="dxa"/>
          </w:tcPr>
          <w:p w14:paraId="76DC275B" w14:textId="77777777" w:rsidR="00261F00" w:rsidRPr="00677159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25ED49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3E9236D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agar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praktisi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6D770E5" w14:textId="77777777" w:rsidR="00197046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kepribadian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6DECEEF" w14:textId="4200E17E" w:rsidR="00261F00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adopsi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difusi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kominikator</w:t>
            </w:r>
            <w:proofErr w:type="spellEnd"/>
          </w:p>
        </w:tc>
      </w:tr>
      <w:tr w:rsidR="00261F00" w:rsidRPr="00677159" w14:paraId="2D05A49C" w14:textId="77777777" w:rsidTr="00931234">
        <w:tc>
          <w:tcPr>
            <w:tcW w:w="3227" w:type="dxa"/>
          </w:tcPr>
          <w:p w14:paraId="3C82AF92" w14:textId="77777777" w:rsidR="00261F00" w:rsidRPr="00677159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C964C9A" w14:textId="3590C569" w:rsidR="00261F00" w:rsidRPr="00677159" w:rsidRDefault="006F34C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261F00" w:rsidRPr="00677159" w14:paraId="12978703" w14:textId="77777777" w:rsidTr="00931234">
        <w:tc>
          <w:tcPr>
            <w:tcW w:w="3227" w:type="dxa"/>
          </w:tcPr>
          <w:p w14:paraId="4C88C778" w14:textId="77777777" w:rsidR="00261F00" w:rsidRPr="00677159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659156B" w14:textId="54515EF9" w:rsidR="00261F00" w:rsidRPr="00677159" w:rsidRDefault="0019704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Teori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mendukung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pemasaran</w:t>
            </w:r>
          </w:p>
        </w:tc>
      </w:tr>
      <w:tr w:rsidR="000F4893" w:rsidRPr="00677159" w14:paraId="34C1CBD1" w14:textId="77777777" w:rsidTr="00931234">
        <w:tc>
          <w:tcPr>
            <w:tcW w:w="3227" w:type="dxa"/>
          </w:tcPr>
          <w:p w14:paraId="5A232919" w14:textId="77777777" w:rsidR="000F4893" w:rsidRPr="00677159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5A20C62" w14:textId="604F01B4" w:rsidR="000F4893" w:rsidRPr="00677159" w:rsidRDefault="00197046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(PMR). Google Classroom</w:t>
            </w:r>
          </w:p>
        </w:tc>
      </w:tr>
      <w:tr w:rsidR="000F4893" w:rsidRPr="00677159" w14:paraId="0492B85C" w14:textId="77777777" w:rsidTr="00931234">
        <w:tc>
          <w:tcPr>
            <w:tcW w:w="3227" w:type="dxa"/>
          </w:tcPr>
          <w:p w14:paraId="09B4DDF5" w14:textId="77777777" w:rsidR="000F4893" w:rsidRPr="00677159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B15EE7" w14:textId="1EBCF87D" w:rsidR="000F4893" w:rsidRPr="00677159" w:rsidRDefault="006F34C6" w:rsidP="006F34C6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0F4893" w:rsidRPr="00677159" w14:paraId="22A055BD" w14:textId="77777777" w:rsidTr="00931234">
        <w:tc>
          <w:tcPr>
            <w:tcW w:w="3227" w:type="dxa"/>
          </w:tcPr>
          <w:p w14:paraId="0BB75F3E" w14:textId="77777777" w:rsidR="000F4893" w:rsidRPr="00677159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2B13274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8D60AC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6667910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330671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68AFB8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262C807" w14:textId="4CE0927B" w:rsidR="000F4893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E7CBB" w:rsidRPr="00677159" w14:paraId="2B683285" w14:textId="77777777" w:rsidTr="00931234">
        <w:tc>
          <w:tcPr>
            <w:tcW w:w="3227" w:type="dxa"/>
          </w:tcPr>
          <w:p w14:paraId="7C05F90B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C30137C" w14:textId="77777777" w:rsidR="003E7CBB" w:rsidRPr="00677159" w:rsidRDefault="003E7CBB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677159" w14:paraId="0BB56155" w14:textId="77777777" w:rsidTr="00931234">
        <w:tc>
          <w:tcPr>
            <w:tcW w:w="3227" w:type="dxa"/>
          </w:tcPr>
          <w:p w14:paraId="5766F42D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23B256B7" w14:textId="6F08399E" w:rsidR="003E7CBB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3E7CBB" w:rsidRPr="00677159" w14:paraId="32C4D05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863ABDB" w14:textId="77777777" w:rsidR="003E7CBB" w:rsidRPr="00677159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677159" w14:paraId="30C39F9D" w14:textId="77777777" w:rsidTr="00931234">
        <w:tc>
          <w:tcPr>
            <w:tcW w:w="3227" w:type="dxa"/>
          </w:tcPr>
          <w:p w14:paraId="43789283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5637C35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1.Memahami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7F895F1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2.Memahami learning theory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kompleksitas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prilaku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3997253" w14:textId="44A0CD81" w:rsidR="003E7CBB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3.Memahami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677159" w14:paraId="6FE2F868" w14:textId="77777777" w:rsidTr="00931234">
        <w:tc>
          <w:tcPr>
            <w:tcW w:w="3227" w:type="dxa"/>
          </w:tcPr>
          <w:p w14:paraId="5BCF0C1F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110E30B" w14:textId="17FC151E" w:rsidR="003E7CBB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3E7CBB" w:rsidRPr="00677159" w14:paraId="161AB1FD" w14:textId="77777777" w:rsidTr="00931234">
        <w:tc>
          <w:tcPr>
            <w:tcW w:w="3227" w:type="dxa"/>
          </w:tcPr>
          <w:p w14:paraId="71609EB2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2B508AE" w14:textId="5187F78F" w:rsidR="003E7CBB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3E7CBB" w:rsidRPr="00677159" w14:paraId="2B5E1E3B" w14:textId="77777777" w:rsidTr="00931234">
        <w:tc>
          <w:tcPr>
            <w:tcW w:w="3227" w:type="dxa"/>
          </w:tcPr>
          <w:p w14:paraId="192AE1EC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98C6DD3" w14:textId="5BB05006" w:rsidR="003E7CBB" w:rsidRPr="00677159" w:rsidRDefault="006F34C6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 Google Classroom.</w:t>
            </w:r>
          </w:p>
        </w:tc>
      </w:tr>
      <w:tr w:rsidR="003E7CBB" w:rsidRPr="00677159" w14:paraId="30354588" w14:textId="77777777" w:rsidTr="00931234">
        <w:tc>
          <w:tcPr>
            <w:tcW w:w="3227" w:type="dxa"/>
          </w:tcPr>
          <w:p w14:paraId="54BA8A75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35EA038" w14:textId="77777777" w:rsidR="003E7CBB" w:rsidRPr="00677159" w:rsidRDefault="007C4A41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menginteprestasikan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677159" w14:paraId="67065492" w14:textId="77777777" w:rsidTr="00931234">
        <w:tc>
          <w:tcPr>
            <w:tcW w:w="3227" w:type="dxa"/>
          </w:tcPr>
          <w:p w14:paraId="06B94D4C" w14:textId="77777777" w:rsidR="003E7CBB" w:rsidRPr="00677159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50E2A4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B78EE1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1952AB5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384116F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C9D873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DBC2C8F" w14:textId="52595C83" w:rsidR="003E7CBB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5E23B3" w:rsidRPr="00677159" w14:paraId="66CCF601" w14:textId="77777777" w:rsidTr="00931234">
        <w:tc>
          <w:tcPr>
            <w:tcW w:w="3227" w:type="dxa"/>
          </w:tcPr>
          <w:p w14:paraId="78E75128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D216FDA" w14:textId="77777777" w:rsidR="005E23B3" w:rsidRPr="00677159" w:rsidRDefault="005E23B3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77159" w14:paraId="039CCCE3" w14:textId="77777777" w:rsidTr="00931234">
        <w:tc>
          <w:tcPr>
            <w:tcW w:w="3227" w:type="dxa"/>
          </w:tcPr>
          <w:p w14:paraId="60066F36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71E54534" w14:textId="30695736" w:rsidR="005E23B3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677159" w14:paraId="368D1BE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16CD0A5" w14:textId="77777777" w:rsidR="005E23B3" w:rsidRPr="00677159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677159" w14:paraId="2E6E4938" w14:textId="77777777" w:rsidTr="00931234">
        <w:tc>
          <w:tcPr>
            <w:tcW w:w="3227" w:type="dxa"/>
          </w:tcPr>
          <w:p w14:paraId="5E74AEE8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95F3A2A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DSM (Decision Sequence Model). </w:t>
            </w:r>
          </w:p>
          <w:p w14:paraId="6744EC53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APIC (Analysis, Planning, Implementation, Control, System)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399A484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 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rerangka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3D66DE63" w14:textId="5A2B20E4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</w:tc>
      </w:tr>
      <w:tr w:rsidR="005E23B3" w:rsidRPr="00677159" w14:paraId="28133690" w14:textId="77777777" w:rsidTr="00931234">
        <w:tc>
          <w:tcPr>
            <w:tcW w:w="3227" w:type="dxa"/>
          </w:tcPr>
          <w:p w14:paraId="57FBA73C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C4B83FB" w14:textId="2E11425B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5E23B3" w:rsidRPr="00677159" w14:paraId="50B8AF6A" w14:textId="77777777" w:rsidTr="00931234">
        <w:tc>
          <w:tcPr>
            <w:tcW w:w="3227" w:type="dxa"/>
          </w:tcPr>
          <w:p w14:paraId="0420E7E4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6CC46E" w14:textId="49147A8C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</w:tc>
      </w:tr>
      <w:tr w:rsidR="005E23B3" w:rsidRPr="00677159" w14:paraId="14671DB6" w14:textId="77777777" w:rsidTr="00931234">
        <w:tc>
          <w:tcPr>
            <w:tcW w:w="3227" w:type="dxa"/>
          </w:tcPr>
          <w:p w14:paraId="582E4E4C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2E41E31" w14:textId="2F0ABA8D" w:rsidR="005E23B3" w:rsidRPr="00677159" w:rsidRDefault="006F34C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, Project Market Research (PMR) Google Classroom.</w:t>
            </w:r>
          </w:p>
        </w:tc>
      </w:tr>
      <w:tr w:rsidR="005E23B3" w:rsidRPr="00677159" w14:paraId="0265BC7B" w14:textId="77777777" w:rsidTr="00931234">
        <w:tc>
          <w:tcPr>
            <w:tcW w:w="3227" w:type="dxa"/>
          </w:tcPr>
          <w:p w14:paraId="52EB95C6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DFA3239" w14:textId="55163E82" w:rsidR="005E23B3" w:rsidRPr="00677159" w:rsidRDefault="006F34C6" w:rsidP="006F34C6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5E23B3" w:rsidRPr="00677159" w14:paraId="4BF008D1" w14:textId="77777777" w:rsidTr="00931234">
        <w:tc>
          <w:tcPr>
            <w:tcW w:w="3227" w:type="dxa"/>
          </w:tcPr>
          <w:p w14:paraId="13FC7342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24044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FC4A761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65605AF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D24F56B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DE80AD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AD6B09" w14:textId="09F40B5C" w:rsidR="005E23B3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5E23B3" w:rsidRPr="00677159" w14:paraId="04209D02" w14:textId="77777777" w:rsidTr="00931234">
        <w:tc>
          <w:tcPr>
            <w:tcW w:w="3227" w:type="dxa"/>
          </w:tcPr>
          <w:p w14:paraId="528F1DE1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577A266A" w14:textId="77777777" w:rsidR="005E23B3" w:rsidRPr="00677159" w:rsidRDefault="005E23B3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77159" w14:paraId="3F7A79FA" w14:textId="77777777" w:rsidTr="00931234">
        <w:tc>
          <w:tcPr>
            <w:tcW w:w="3227" w:type="dxa"/>
          </w:tcPr>
          <w:p w14:paraId="723409CD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5168E087" w14:textId="3E78D5CA" w:rsidR="005E23B3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677159" w14:paraId="7E974CE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8A64AFA" w14:textId="77777777" w:rsidR="005E23B3" w:rsidRPr="00677159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677159" w14:paraId="1E55E7DF" w14:textId="77777777" w:rsidTr="00931234">
        <w:tc>
          <w:tcPr>
            <w:tcW w:w="3227" w:type="dxa"/>
          </w:tcPr>
          <w:p w14:paraId="0D6D61CE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02FF598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mendukungnya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A121B52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sekilas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merek.</w:t>
            </w:r>
          </w:p>
          <w:p w14:paraId="5299D722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mendefinisikan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membandingkannya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elemen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lainnya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3EFBA40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penciptaan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384DDE4C" w14:textId="72DF19DA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5.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Mendiskusikan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kreatif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penciptaan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</w:p>
        </w:tc>
      </w:tr>
      <w:tr w:rsidR="005E23B3" w:rsidRPr="00677159" w14:paraId="25EC00D0" w14:textId="77777777" w:rsidTr="00931234">
        <w:tc>
          <w:tcPr>
            <w:tcW w:w="3227" w:type="dxa"/>
          </w:tcPr>
          <w:p w14:paraId="60AD1CD1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C3770B7" w14:textId="32A40F16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5E23B3" w:rsidRPr="00677159" w14:paraId="05D1617C" w14:textId="77777777" w:rsidTr="00931234">
        <w:tc>
          <w:tcPr>
            <w:tcW w:w="3227" w:type="dxa"/>
          </w:tcPr>
          <w:p w14:paraId="69E7E76E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0A645D3" w14:textId="3F60BC67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Teori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periklanan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perumusan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strategi</w:t>
            </w:r>
          </w:p>
        </w:tc>
      </w:tr>
      <w:tr w:rsidR="005E23B3" w:rsidRPr="00677159" w14:paraId="683C08D1" w14:textId="77777777" w:rsidTr="00931234">
        <w:tc>
          <w:tcPr>
            <w:tcW w:w="3227" w:type="dxa"/>
          </w:tcPr>
          <w:p w14:paraId="4C957D82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22889D3" w14:textId="3C126258" w:rsidR="005E23B3" w:rsidRPr="00677159" w:rsidRDefault="006F34C6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 Google Classroom</w:t>
            </w:r>
          </w:p>
        </w:tc>
      </w:tr>
      <w:tr w:rsidR="005E23B3" w:rsidRPr="00677159" w14:paraId="079FDDC1" w14:textId="77777777" w:rsidTr="00931234">
        <w:tc>
          <w:tcPr>
            <w:tcW w:w="3227" w:type="dxa"/>
          </w:tcPr>
          <w:p w14:paraId="622B175D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FC1C498" w14:textId="3001F747" w:rsidR="005E23B3" w:rsidRPr="00677159" w:rsidRDefault="006F34C6" w:rsidP="006F34C6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5E23B3" w:rsidRPr="00677159" w14:paraId="02A38B69" w14:textId="77777777" w:rsidTr="00931234">
        <w:tc>
          <w:tcPr>
            <w:tcW w:w="3227" w:type="dxa"/>
          </w:tcPr>
          <w:p w14:paraId="1B0AE31F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B1F90E7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506A27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A92AF8E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865A0A5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DD0AD6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66A3B7" w14:textId="39997C52" w:rsidR="005E23B3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5E23B3" w:rsidRPr="00677159" w14:paraId="2BE7BB54" w14:textId="77777777" w:rsidTr="00931234">
        <w:tc>
          <w:tcPr>
            <w:tcW w:w="3227" w:type="dxa"/>
          </w:tcPr>
          <w:p w14:paraId="5727EC26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19B3FB4" w14:textId="77777777" w:rsidR="005E23B3" w:rsidRPr="00677159" w:rsidRDefault="005E23B3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677159" w14:paraId="0EF8309E" w14:textId="77777777" w:rsidTr="00931234">
        <w:tc>
          <w:tcPr>
            <w:tcW w:w="3227" w:type="dxa"/>
          </w:tcPr>
          <w:p w14:paraId="740A3E4F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80550C3" w14:textId="0B8E527F" w:rsidR="005E23B3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5E23B3" w:rsidRPr="00677159" w14:paraId="2D3D2D2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26DE6D4" w14:textId="77777777" w:rsidR="005E23B3" w:rsidRPr="00677159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677159" w14:paraId="4D1C74B0" w14:textId="77777777" w:rsidTr="00931234">
        <w:tc>
          <w:tcPr>
            <w:tcW w:w="3227" w:type="dxa"/>
          </w:tcPr>
          <w:p w14:paraId="1EFA1EB7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CD5B5E0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6FA8C3B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media. </w:t>
            </w:r>
          </w:p>
          <w:p w14:paraId="475E935C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30EA35E" w14:textId="5EB0E9A6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membandingkan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jangkauan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frekuensi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kelebihan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masing-masing media </w:t>
            </w:r>
          </w:p>
          <w:p w14:paraId="3A3B50C1" w14:textId="77777777" w:rsidR="006F34C6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5.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CPT </w:t>
            </w:r>
            <w:r w:rsidRPr="00677159">
              <w:rPr>
                <w:rFonts w:ascii="Cambria Math" w:hAnsi="Cambria Math"/>
                <w:i/>
                <w:iCs/>
                <w:sz w:val="24"/>
                <w:szCs w:val="24"/>
              </w:rPr>
              <w:t>(Cost and Cost per Thousand)</w:t>
            </w:r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C791B62" w14:textId="139E47F5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6.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alokasi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pembiayaan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677159" w14:paraId="09585A41" w14:textId="77777777" w:rsidTr="00931234">
        <w:tc>
          <w:tcPr>
            <w:tcW w:w="3227" w:type="dxa"/>
          </w:tcPr>
          <w:p w14:paraId="57B567F7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5625B60" w14:textId="5EC1AF6E" w:rsidR="005E23B3" w:rsidRPr="00677159" w:rsidRDefault="006F34C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5E23B3" w:rsidRPr="00677159" w14:paraId="7BB77582" w14:textId="77777777" w:rsidTr="00931234">
        <w:tc>
          <w:tcPr>
            <w:tcW w:w="3227" w:type="dxa"/>
          </w:tcPr>
          <w:p w14:paraId="1D8B2411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DF35958" w14:textId="715E32B3" w:rsidR="005E23B3" w:rsidRPr="00677159" w:rsidRDefault="006F34C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pengenalan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karakteristik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media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perencanaanya</w:t>
            </w:r>
            <w:proofErr w:type="spellEnd"/>
          </w:p>
        </w:tc>
      </w:tr>
      <w:tr w:rsidR="005E23B3" w:rsidRPr="00677159" w14:paraId="384B4672" w14:textId="77777777" w:rsidTr="00931234">
        <w:tc>
          <w:tcPr>
            <w:tcW w:w="3227" w:type="dxa"/>
          </w:tcPr>
          <w:p w14:paraId="4823F5D6" w14:textId="77777777" w:rsidR="005E23B3" w:rsidRPr="0067715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107EE3C" w14:textId="7CBF0D87" w:rsidR="005E23B3" w:rsidRPr="00677159" w:rsidRDefault="006F34C6" w:rsidP="007E4A3D">
            <w:pPr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pengenalan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karakteristik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media dan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perencanaanya</w:t>
            </w:r>
            <w:proofErr w:type="spellEnd"/>
          </w:p>
        </w:tc>
      </w:tr>
      <w:tr w:rsidR="007E4A3D" w:rsidRPr="00677159" w14:paraId="498771E3" w14:textId="77777777" w:rsidTr="00931234">
        <w:tc>
          <w:tcPr>
            <w:tcW w:w="3227" w:type="dxa"/>
          </w:tcPr>
          <w:p w14:paraId="3ADA444D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39A8259" w14:textId="1888C7A2" w:rsidR="007E4A3D" w:rsidRPr="00677159" w:rsidRDefault="006F34C6" w:rsidP="006F34C6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026346D9" w14:textId="77777777" w:rsidTr="00931234">
        <w:tc>
          <w:tcPr>
            <w:tcW w:w="3227" w:type="dxa"/>
          </w:tcPr>
          <w:p w14:paraId="6C28FE55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950E1C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04B49A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3553A5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7AC486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761F8ED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B0C42F" w14:textId="74976959" w:rsidR="007E4A3D" w:rsidRPr="00677159" w:rsidRDefault="00677159" w:rsidP="00677159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342DAB78" w14:textId="77777777" w:rsidTr="00931234">
        <w:tc>
          <w:tcPr>
            <w:tcW w:w="3227" w:type="dxa"/>
          </w:tcPr>
          <w:p w14:paraId="35A1AB67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16396D95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0284E408" w14:textId="77777777" w:rsidTr="00931234">
        <w:tc>
          <w:tcPr>
            <w:tcW w:w="3227" w:type="dxa"/>
          </w:tcPr>
          <w:p w14:paraId="5717F93A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DC10FB8" w14:textId="00C3B20B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33D15DF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F2CC6BF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677159" w14:paraId="6431B306" w14:textId="77777777" w:rsidTr="00931234">
        <w:tc>
          <w:tcPr>
            <w:tcW w:w="3227" w:type="dxa"/>
          </w:tcPr>
          <w:p w14:paraId="020D94C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3695CC6" w14:textId="77777777" w:rsidR="006F34C6" w:rsidRPr="00677159" w:rsidRDefault="006F34C6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dinamika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B98C10" w14:textId="77777777" w:rsidR="00317E91" w:rsidRPr="00677159" w:rsidRDefault="00317E91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kelebihan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kekurangan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0793DAC" w14:textId="77777777" w:rsidR="00317E91" w:rsidRPr="00677159" w:rsidRDefault="00317E91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kretivitas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tambah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AD34A9C" w14:textId="77777777" w:rsidR="00317E91" w:rsidRPr="00677159" w:rsidRDefault="00317E91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</w:p>
          <w:p w14:paraId="50D53F6B" w14:textId="77777777" w:rsidR="00317E91" w:rsidRPr="00677159" w:rsidRDefault="00317E91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E119944" w14:textId="2ED91C3D" w:rsidR="006F34C6" w:rsidRPr="00677159" w:rsidRDefault="00317E91" w:rsidP="006F34C6">
            <w:pPr>
              <w:pStyle w:val="ListParagraph"/>
              <w:numPr>
                <w:ilvl w:val="0"/>
                <w:numId w:val="17"/>
              </w:numPr>
              <w:ind w:left="314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kaitannya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elemen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media.</w:t>
            </w:r>
          </w:p>
        </w:tc>
      </w:tr>
      <w:tr w:rsidR="007E4A3D" w:rsidRPr="00677159" w14:paraId="2B4D6278" w14:textId="77777777" w:rsidTr="00931234">
        <w:tc>
          <w:tcPr>
            <w:tcW w:w="3227" w:type="dxa"/>
          </w:tcPr>
          <w:p w14:paraId="61ADDE8B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63F73E1" w14:textId="278B8598" w:rsidR="007E4A3D" w:rsidRPr="00677159" w:rsidRDefault="00317E9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4138F142" w14:textId="77777777" w:rsidTr="00931234">
        <w:tc>
          <w:tcPr>
            <w:tcW w:w="3227" w:type="dxa"/>
          </w:tcPr>
          <w:p w14:paraId="52C7665E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6AEF6A5" w14:textId="40CE370B" w:rsidR="007E4A3D" w:rsidRPr="00677159" w:rsidRDefault="00317E9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Promosi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r w:rsidRPr="00677159">
              <w:rPr>
                <w:rFonts w:ascii="Cambria Math" w:hAnsi="Cambria Math"/>
                <w:i/>
                <w:iCs/>
                <w:sz w:val="24"/>
                <w:szCs w:val="24"/>
              </w:rPr>
              <w:t>direct marketing</w:t>
            </w:r>
          </w:p>
        </w:tc>
      </w:tr>
      <w:tr w:rsidR="007E4A3D" w:rsidRPr="00677159" w14:paraId="6E2BE3C5" w14:textId="77777777" w:rsidTr="00931234">
        <w:tc>
          <w:tcPr>
            <w:tcW w:w="3227" w:type="dxa"/>
          </w:tcPr>
          <w:p w14:paraId="408C383C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3C6D6D1" w14:textId="189E11C2" w:rsidR="007E4A3D" w:rsidRPr="00677159" w:rsidRDefault="00317E91" w:rsidP="006D12FC">
            <w:pPr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Project Market Research (PMR) Google Classroom.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Zoomeeting</w:t>
            </w:r>
            <w:proofErr w:type="spellEnd"/>
          </w:p>
        </w:tc>
      </w:tr>
      <w:tr w:rsidR="007E4A3D" w:rsidRPr="00677159" w14:paraId="298B075A" w14:textId="77777777" w:rsidTr="00931234">
        <w:tc>
          <w:tcPr>
            <w:tcW w:w="3227" w:type="dxa"/>
          </w:tcPr>
          <w:p w14:paraId="24CDE03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20589FB" w14:textId="22445C68" w:rsidR="007E4A3D" w:rsidRPr="00677159" w:rsidRDefault="007E4A3D" w:rsidP="00317E91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677159" w14:paraId="541DF7BE" w14:textId="77777777" w:rsidTr="00931234">
        <w:tc>
          <w:tcPr>
            <w:tcW w:w="3227" w:type="dxa"/>
          </w:tcPr>
          <w:p w14:paraId="55A5BEC5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971854C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3139D3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282E9F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356C8A1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35B93F1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78533B" w14:textId="7B475B04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3E9EBA21" w14:textId="77777777" w:rsidTr="00931234">
        <w:tc>
          <w:tcPr>
            <w:tcW w:w="3227" w:type="dxa"/>
          </w:tcPr>
          <w:p w14:paraId="1CB610CA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FAEC3EB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34DF47F4" w14:textId="77777777" w:rsidTr="00931234">
        <w:tc>
          <w:tcPr>
            <w:tcW w:w="3227" w:type="dxa"/>
          </w:tcPr>
          <w:p w14:paraId="6A5760D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52A5A84" w14:textId="7484B4A4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6337F69A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4D838D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609DB8A" w14:textId="77777777" w:rsidR="007E4A3D" w:rsidRPr="00677159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677159" w14:paraId="0FC8BA9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4FC57FF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677159" w14:paraId="011B97D6" w14:textId="77777777" w:rsidTr="00931234">
        <w:tc>
          <w:tcPr>
            <w:tcW w:w="3227" w:type="dxa"/>
          </w:tcPr>
          <w:p w14:paraId="22ABDEF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21478D8" w14:textId="77777777" w:rsidR="00895532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Public Relation (PR)/HUMAS . </w:t>
            </w:r>
          </w:p>
          <w:p w14:paraId="6EDDBBD3" w14:textId="77777777" w:rsidR="00895532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kaitaanya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relationship marketing.TM-9 </w:t>
            </w:r>
          </w:p>
          <w:p w14:paraId="595D9196" w14:textId="77777777" w:rsidR="00895532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legislasi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control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PR. </w:t>
            </w:r>
          </w:p>
          <w:p w14:paraId="3694AF73" w14:textId="4B7B6EFC" w:rsidR="007E4A3D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4.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internet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PR.</w:t>
            </w:r>
          </w:p>
        </w:tc>
      </w:tr>
      <w:tr w:rsidR="007E4A3D" w:rsidRPr="00677159" w14:paraId="76E6D4C4" w14:textId="77777777" w:rsidTr="00931234">
        <w:tc>
          <w:tcPr>
            <w:tcW w:w="3227" w:type="dxa"/>
          </w:tcPr>
          <w:p w14:paraId="1A9CA40B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64DEF6D" w14:textId="42A3ADD6" w:rsidR="007E4A3D" w:rsidRPr="00677159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4ABB2402" w14:textId="77777777" w:rsidTr="00931234">
        <w:tc>
          <w:tcPr>
            <w:tcW w:w="3227" w:type="dxa"/>
          </w:tcPr>
          <w:p w14:paraId="107D5330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2ED0A91" w14:textId="54234113" w:rsidR="007E4A3D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Public relation and corporate communication</w:t>
            </w:r>
          </w:p>
        </w:tc>
      </w:tr>
      <w:tr w:rsidR="007E4A3D" w:rsidRPr="00677159" w14:paraId="55F534FC" w14:textId="77777777" w:rsidTr="00931234">
        <w:tc>
          <w:tcPr>
            <w:tcW w:w="3227" w:type="dxa"/>
          </w:tcPr>
          <w:p w14:paraId="0861379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FC3CF51" w14:textId="73E83EE4" w:rsidR="007E4A3D" w:rsidRPr="00677159" w:rsidRDefault="00895532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Project Market Research (PMR) Google Classroom.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Zoomeeting</w:t>
            </w:r>
            <w:proofErr w:type="spellEnd"/>
          </w:p>
        </w:tc>
      </w:tr>
      <w:tr w:rsidR="007E4A3D" w:rsidRPr="00677159" w14:paraId="20011276" w14:textId="77777777" w:rsidTr="00931234">
        <w:tc>
          <w:tcPr>
            <w:tcW w:w="3227" w:type="dxa"/>
          </w:tcPr>
          <w:p w14:paraId="3AFE8A3A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8009B4" w14:textId="3902D277" w:rsidR="007E4A3D" w:rsidRPr="00677159" w:rsidRDefault="007E4A3D" w:rsidP="0089553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38BEAB19" w14:textId="77777777" w:rsidTr="00931234">
        <w:tc>
          <w:tcPr>
            <w:tcW w:w="3227" w:type="dxa"/>
          </w:tcPr>
          <w:p w14:paraId="642E0B10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F16087F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B50BEE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53B7E0A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317C5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57C1F7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4A5C2B" w14:textId="55D04730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0F4D4F74" w14:textId="77777777" w:rsidTr="00931234">
        <w:tc>
          <w:tcPr>
            <w:tcW w:w="3227" w:type="dxa"/>
          </w:tcPr>
          <w:p w14:paraId="05B6B0E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CAC7690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2F70F949" w14:textId="77777777" w:rsidTr="00931234">
        <w:tc>
          <w:tcPr>
            <w:tcW w:w="3227" w:type="dxa"/>
          </w:tcPr>
          <w:p w14:paraId="23EDC027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72F155AE" w14:textId="4CE0C398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66ED98F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C182FC7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677159" w14:paraId="286F100F" w14:textId="77777777" w:rsidTr="00931234">
        <w:tc>
          <w:tcPr>
            <w:tcW w:w="3227" w:type="dxa"/>
          </w:tcPr>
          <w:p w14:paraId="44132EDA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56902DE" w14:textId="77777777" w:rsidR="00895532" w:rsidRPr="00677159" w:rsidRDefault="00895532" w:rsidP="0014751A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 communication </w:t>
            </w:r>
          </w:p>
          <w:p w14:paraId="2E3C594E" w14:textId="5C3AC373" w:rsidR="00895532" w:rsidRPr="00677159" w:rsidRDefault="00895532" w:rsidP="0014751A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kekurangan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kelebihan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 communication. </w:t>
            </w:r>
          </w:p>
          <w:p w14:paraId="2EF92E39" w14:textId="2053143E" w:rsidR="007E4A3D" w:rsidRPr="00677159" w:rsidRDefault="00895532" w:rsidP="0014751A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menilai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efektivitasnya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77159" w14:paraId="10BE43F3" w14:textId="77777777" w:rsidTr="00931234">
        <w:tc>
          <w:tcPr>
            <w:tcW w:w="3227" w:type="dxa"/>
          </w:tcPr>
          <w:p w14:paraId="47C7D0A3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9BD81A" w14:textId="389FF4A9" w:rsidR="007E4A3D" w:rsidRPr="00677159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6FA14A71" w14:textId="77777777" w:rsidTr="00931234">
        <w:tc>
          <w:tcPr>
            <w:tcW w:w="3227" w:type="dxa"/>
          </w:tcPr>
          <w:p w14:paraId="6E418755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F1C1B6" w14:textId="1CA49469" w:rsidR="007E4A3D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Personal selling</w:t>
            </w:r>
          </w:p>
        </w:tc>
      </w:tr>
      <w:tr w:rsidR="007E4A3D" w:rsidRPr="00677159" w14:paraId="133AD6B7" w14:textId="77777777" w:rsidTr="00931234">
        <w:tc>
          <w:tcPr>
            <w:tcW w:w="3227" w:type="dxa"/>
          </w:tcPr>
          <w:p w14:paraId="19B1BD66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06AFB63" w14:textId="182F351D" w:rsidR="007E4A3D" w:rsidRPr="00677159" w:rsidRDefault="00895532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Project Market Research (PMR) Google Classroom.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Zoomeeting</w:t>
            </w:r>
            <w:proofErr w:type="spellEnd"/>
          </w:p>
        </w:tc>
      </w:tr>
      <w:tr w:rsidR="007E4A3D" w:rsidRPr="00677159" w14:paraId="5DDF19AE" w14:textId="77777777" w:rsidTr="00931234">
        <w:tc>
          <w:tcPr>
            <w:tcW w:w="3227" w:type="dxa"/>
          </w:tcPr>
          <w:p w14:paraId="534BE47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95B47D3" w14:textId="4D80F789" w:rsidR="007E4A3D" w:rsidRPr="00677159" w:rsidRDefault="007E4A3D" w:rsidP="0089553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7A03F3C1" w14:textId="77777777" w:rsidTr="00931234">
        <w:tc>
          <w:tcPr>
            <w:tcW w:w="3227" w:type="dxa"/>
          </w:tcPr>
          <w:p w14:paraId="52E9129C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E79E09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4A92D75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941DB56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E88596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FDB3C48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30178B" w14:textId="28A46AE7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639A1F9F" w14:textId="77777777" w:rsidTr="00931234">
        <w:tc>
          <w:tcPr>
            <w:tcW w:w="3227" w:type="dxa"/>
          </w:tcPr>
          <w:p w14:paraId="04AB1F2A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3D73F0A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556553E6" w14:textId="77777777" w:rsidTr="00931234">
        <w:tc>
          <w:tcPr>
            <w:tcW w:w="3227" w:type="dxa"/>
          </w:tcPr>
          <w:p w14:paraId="2ABC116C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BF51CFA" w14:textId="086B1F3D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49022E0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B50776C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677159" w14:paraId="3E6C4C6F" w14:textId="77777777" w:rsidTr="00931234">
        <w:tc>
          <w:tcPr>
            <w:tcW w:w="3227" w:type="dxa"/>
          </w:tcPr>
          <w:p w14:paraId="73AD4498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C760E15" w14:textId="77777777" w:rsidR="00895532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677159">
              <w:rPr>
                <w:rFonts w:ascii="Cambria Math" w:hAnsi="Cambria Math"/>
                <w:i/>
                <w:iCs/>
                <w:sz w:val="24"/>
                <w:szCs w:val="24"/>
              </w:rPr>
              <w:t>Personal communication</w:t>
            </w:r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9C95B2A" w14:textId="2F7BF259" w:rsidR="00895532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9A0EC9" w:rsidRPr="00677159">
              <w:rPr>
                <w:rFonts w:ascii="Cambria Math" w:hAnsi="Cambria Math"/>
                <w:sz w:val="24"/>
                <w:szCs w:val="24"/>
              </w:rPr>
              <w:t>k</w:t>
            </w:r>
            <w:r w:rsidRPr="00677159">
              <w:rPr>
                <w:rFonts w:ascii="Cambria Math" w:hAnsi="Cambria Math"/>
                <w:sz w:val="24"/>
                <w:szCs w:val="24"/>
              </w:rPr>
              <w:t>erangka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personal. </w:t>
            </w:r>
          </w:p>
          <w:p w14:paraId="592D6AF0" w14:textId="03AA5D49" w:rsidR="007E4A3D" w:rsidRPr="00677159" w:rsidRDefault="0089553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 communication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kondisi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terkini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77159" w14:paraId="4FB1C0E5" w14:textId="77777777" w:rsidTr="00931234">
        <w:tc>
          <w:tcPr>
            <w:tcW w:w="3227" w:type="dxa"/>
          </w:tcPr>
          <w:p w14:paraId="5BBD1098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F3281FD" w14:textId="410D0CFC" w:rsidR="007E4A3D" w:rsidRPr="00677159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2F5DC67D" w14:textId="77777777" w:rsidTr="00931234">
        <w:tc>
          <w:tcPr>
            <w:tcW w:w="3227" w:type="dxa"/>
          </w:tcPr>
          <w:p w14:paraId="7141DFF0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738F6B9" w14:textId="1F794D34" w:rsidR="007E4A3D" w:rsidRPr="00677159" w:rsidRDefault="009A0EC9" w:rsidP="00F5475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personal</w:t>
            </w:r>
          </w:p>
        </w:tc>
      </w:tr>
      <w:tr w:rsidR="007E4A3D" w:rsidRPr="00677159" w14:paraId="550AFAAF" w14:textId="77777777" w:rsidTr="009A0EC9">
        <w:trPr>
          <w:trHeight w:val="589"/>
        </w:trPr>
        <w:tc>
          <w:tcPr>
            <w:tcW w:w="3227" w:type="dxa"/>
          </w:tcPr>
          <w:p w14:paraId="3B94747D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39C7A41" w14:textId="6CAEF06F" w:rsidR="007E4A3D" w:rsidRPr="00677159" w:rsidRDefault="009A0EC9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 Google Classroom.</w:t>
            </w:r>
          </w:p>
        </w:tc>
      </w:tr>
      <w:tr w:rsidR="007E4A3D" w:rsidRPr="00677159" w14:paraId="32786179" w14:textId="77777777" w:rsidTr="00931234">
        <w:tc>
          <w:tcPr>
            <w:tcW w:w="3227" w:type="dxa"/>
          </w:tcPr>
          <w:p w14:paraId="213FFB25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538E365" w14:textId="355121AD" w:rsidR="007E4A3D" w:rsidRPr="00677159" w:rsidRDefault="007E4A3D" w:rsidP="00451497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677159" w14:paraId="0D7C577F" w14:textId="77777777" w:rsidTr="00931234">
        <w:tc>
          <w:tcPr>
            <w:tcW w:w="3227" w:type="dxa"/>
          </w:tcPr>
          <w:p w14:paraId="4F40393F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C4A21CB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2FF2284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0DBFD8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99897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73AA1D3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D49A643" w14:textId="3F5ED31A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7D72955D" w14:textId="77777777" w:rsidTr="00931234">
        <w:tc>
          <w:tcPr>
            <w:tcW w:w="3227" w:type="dxa"/>
          </w:tcPr>
          <w:p w14:paraId="7635600D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8B2C669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44ACA853" w14:textId="77777777" w:rsidTr="00931234">
        <w:tc>
          <w:tcPr>
            <w:tcW w:w="3227" w:type="dxa"/>
          </w:tcPr>
          <w:p w14:paraId="2FD90E4B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35061050" w14:textId="050AB939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712EFF2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EC25B22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677159" w14:paraId="335FF3F4" w14:textId="77777777" w:rsidTr="00931234">
        <w:tc>
          <w:tcPr>
            <w:tcW w:w="3227" w:type="dxa"/>
          </w:tcPr>
          <w:p w14:paraId="32FFE9F7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099E60" w14:textId="77777777" w:rsidR="00451497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EBF7E60" w14:textId="078AEF43" w:rsidR="007E4A3D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tahapan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pengumpulan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guna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meningkatkan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77159" w14:paraId="2047893C" w14:textId="77777777" w:rsidTr="00931234">
        <w:tc>
          <w:tcPr>
            <w:tcW w:w="3227" w:type="dxa"/>
          </w:tcPr>
          <w:p w14:paraId="031EB1A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B914D19" w14:textId="0125B72B" w:rsidR="007E4A3D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76F41A1F" w14:textId="77777777" w:rsidTr="00931234">
        <w:tc>
          <w:tcPr>
            <w:tcW w:w="3227" w:type="dxa"/>
          </w:tcPr>
          <w:p w14:paraId="73688268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B5FD827" w14:textId="63BFE0C3" w:rsidR="007E4A3D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Riset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</w:p>
        </w:tc>
      </w:tr>
      <w:tr w:rsidR="007E4A3D" w:rsidRPr="00677159" w14:paraId="36E9506F" w14:textId="77777777" w:rsidTr="00931234">
        <w:tc>
          <w:tcPr>
            <w:tcW w:w="3227" w:type="dxa"/>
          </w:tcPr>
          <w:p w14:paraId="0D9AFBD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D858918" w14:textId="3588C23C" w:rsidR="007E4A3D" w:rsidRPr="00677159" w:rsidRDefault="00451497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 Google Classroom.</w:t>
            </w:r>
          </w:p>
        </w:tc>
      </w:tr>
      <w:tr w:rsidR="007E4A3D" w:rsidRPr="00677159" w14:paraId="758304B2" w14:textId="77777777" w:rsidTr="00931234">
        <w:tc>
          <w:tcPr>
            <w:tcW w:w="3227" w:type="dxa"/>
          </w:tcPr>
          <w:p w14:paraId="2FBF8FC3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758D228" w14:textId="5C89C65C" w:rsidR="007E4A3D" w:rsidRPr="00677159" w:rsidRDefault="00451497" w:rsidP="00451497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35037269" w14:textId="77777777" w:rsidTr="00931234">
        <w:tc>
          <w:tcPr>
            <w:tcW w:w="3227" w:type="dxa"/>
          </w:tcPr>
          <w:p w14:paraId="3E581B66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DFE463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D7CC99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7D0DABB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26406E9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269DD5B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05A5889" w14:textId="725DB530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6C7F8EC3" w14:textId="77777777" w:rsidTr="00931234">
        <w:tc>
          <w:tcPr>
            <w:tcW w:w="3227" w:type="dxa"/>
          </w:tcPr>
          <w:p w14:paraId="6048FC8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B0CFE2A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021F4572" w14:textId="77777777" w:rsidTr="00931234">
        <w:tc>
          <w:tcPr>
            <w:tcW w:w="3227" w:type="dxa"/>
          </w:tcPr>
          <w:p w14:paraId="7494B244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787DC68" w14:textId="01E56DE5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1C4E701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4B7DAB8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677159" w14:paraId="7B29BA13" w14:textId="77777777" w:rsidTr="00931234">
        <w:tc>
          <w:tcPr>
            <w:tcW w:w="3227" w:type="dxa"/>
          </w:tcPr>
          <w:p w14:paraId="082E98AF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D35E571" w14:textId="77777777" w:rsidR="00451497" w:rsidRPr="00677159" w:rsidRDefault="00451497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interaktivitas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B424A64" w14:textId="77777777" w:rsidR="00451497" w:rsidRPr="00677159" w:rsidRDefault="00451497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2.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konsumen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membangun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loyalitas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merek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sarana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web. </w:t>
            </w:r>
          </w:p>
          <w:p w14:paraId="7EA42B9A" w14:textId="17B0232E" w:rsidR="007E4A3D" w:rsidRPr="00677159" w:rsidRDefault="00451497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3.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periklanan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bagian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aktivitas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677159" w14:paraId="6A7E7AE9" w14:textId="77777777" w:rsidTr="00931234">
        <w:tc>
          <w:tcPr>
            <w:tcW w:w="3227" w:type="dxa"/>
          </w:tcPr>
          <w:p w14:paraId="0AD46E8E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2A1F69C" w14:textId="0BF28E3A" w:rsidR="007E4A3D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1305CE12" w14:textId="77777777" w:rsidTr="00931234">
        <w:tc>
          <w:tcPr>
            <w:tcW w:w="3227" w:type="dxa"/>
          </w:tcPr>
          <w:p w14:paraId="113E3E59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BEA9FEB" w14:textId="36C85CC1" w:rsidR="007E4A3D" w:rsidRPr="00677159" w:rsidRDefault="00451497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Interactivity in marketing communication</w:t>
            </w:r>
          </w:p>
        </w:tc>
      </w:tr>
      <w:tr w:rsidR="007E4A3D" w:rsidRPr="00677159" w14:paraId="1F3914DB" w14:textId="77777777" w:rsidTr="00931234">
        <w:tc>
          <w:tcPr>
            <w:tcW w:w="3227" w:type="dxa"/>
          </w:tcPr>
          <w:p w14:paraId="60BF37E4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38BA4AC" w14:textId="7BA361B3" w:rsidR="007E4A3D" w:rsidRPr="00677159" w:rsidRDefault="00451497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 Google Classroom</w:t>
            </w:r>
          </w:p>
        </w:tc>
      </w:tr>
      <w:tr w:rsidR="007E4A3D" w:rsidRPr="00677159" w14:paraId="3E16F45A" w14:textId="77777777" w:rsidTr="00931234">
        <w:tc>
          <w:tcPr>
            <w:tcW w:w="3227" w:type="dxa"/>
          </w:tcPr>
          <w:p w14:paraId="6BE1DC24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E618422" w14:textId="1A38B132" w:rsidR="007E4A3D" w:rsidRPr="00677159" w:rsidRDefault="00451497" w:rsidP="00451497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7E4A3D" w:rsidRPr="00677159" w14:paraId="3F498908" w14:textId="77777777" w:rsidTr="00931234">
        <w:tc>
          <w:tcPr>
            <w:tcW w:w="3227" w:type="dxa"/>
          </w:tcPr>
          <w:p w14:paraId="11A8FF08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16D383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612DABD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4C5E846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10AA4CE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0616BEB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ECD8E4" w14:textId="64760497" w:rsidR="007E4A3D" w:rsidRPr="00677159" w:rsidRDefault="00677159" w:rsidP="00677159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677159" w14:paraId="6122F466" w14:textId="77777777" w:rsidTr="00931234">
        <w:tc>
          <w:tcPr>
            <w:tcW w:w="3227" w:type="dxa"/>
          </w:tcPr>
          <w:p w14:paraId="031AC875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3588EE19" w14:textId="77777777" w:rsidR="007E4A3D" w:rsidRPr="00677159" w:rsidRDefault="007E4A3D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677159" w14:paraId="2AF2FADE" w14:textId="77777777" w:rsidTr="00931234">
        <w:tc>
          <w:tcPr>
            <w:tcW w:w="3227" w:type="dxa"/>
          </w:tcPr>
          <w:p w14:paraId="1506CA32" w14:textId="77777777" w:rsidR="007E4A3D" w:rsidRPr="0067715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40878B2C" w14:textId="267A25CA" w:rsidR="007E4A3D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7E4A3D" w:rsidRPr="00677159" w14:paraId="6FA7D6E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68ECEFF" w14:textId="77777777" w:rsidR="007E4A3D" w:rsidRPr="0067715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677159" w14:paraId="3116A18D" w14:textId="77777777" w:rsidTr="00931234">
        <w:tc>
          <w:tcPr>
            <w:tcW w:w="3227" w:type="dxa"/>
          </w:tcPr>
          <w:p w14:paraId="14EBC2E5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A08B8E" w14:textId="5AB62B0C" w:rsidR="006B24FE" w:rsidRPr="00677159" w:rsidRDefault="00451497" w:rsidP="006B24F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memecahkan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pemasaran</w:t>
            </w:r>
          </w:p>
        </w:tc>
      </w:tr>
      <w:tr w:rsidR="006B24FE" w:rsidRPr="00677159" w14:paraId="004338C6" w14:textId="77777777" w:rsidTr="00931234">
        <w:tc>
          <w:tcPr>
            <w:tcW w:w="3227" w:type="dxa"/>
          </w:tcPr>
          <w:p w14:paraId="4C406554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D7C2FD0" w14:textId="5F568330" w:rsidR="006B24FE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6B24FE" w:rsidRPr="00677159" w14:paraId="44399398" w14:textId="77777777" w:rsidTr="00931234">
        <w:tc>
          <w:tcPr>
            <w:tcW w:w="3227" w:type="dxa"/>
          </w:tcPr>
          <w:p w14:paraId="2DE5C139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2327183" w14:textId="4BFF7767" w:rsidR="006B24FE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Studi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isu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terbaru</w:t>
            </w:r>
            <w:proofErr w:type="spellEnd"/>
          </w:p>
        </w:tc>
      </w:tr>
      <w:tr w:rsidR="006B24FE" w:rsidRPr="00677159" w14:paraId="35639C4D" w14:textId="77777777" w:rsidTr="00931234">
        <w:tc>
          <w:tcPr>
            <w:tcW w:w="3227" w:type="dxa"/>
          </w:tcPr>
          <w:p w14:paraId="6FE0025C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FA8AF8D" w14:textId="61881A40" w:rsidR="006B24FE" w:rsidRPr="00677159" w:rsidRDefault="00451497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(PMR). Google Classroom. zoom</w:t>
            </w:r>
          </w:p>
        </w:tc>
      </w:tr>
      <w:tr w:rsidR="006B24FE" w:rsidRPr="00677159" w14:paraId="7D6FE212" w14:textId="77777777" w:rsidTr="00931234">
        <w:tc>
          <w:tcPr>
            <w:tcW w:w="3227" w:type="dxa"/>
          </w:tcPr>
          <w:p w14:paraId="496FF4FD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0357254" w14:textId="0780FC27" w:rsidR="006B24FE" w:rsidRPr="00677159" w:rsidRDefault="00451497" w:rsidP="00451497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451497" w:rsidRPr="00677159" w14:paraId="68B814FC" w14:textId="77777777" w:rsidTr="00931234">
        <w:tc>
          <w:tcPr>
            <w:tcW w:w="3227" w:type="dxa"/>
          </w:tcPr>
          <w:p w14:paraId="4840B969" w14:textId="77777777" w:rsidR="00451497" w:rsidRPr="00677159" w:rsidRDefault="00451497" w:rsidP="00451497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834495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677159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8EEECEA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3103CA70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97A0712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96E3C51" w14:textId="77777777" w:rsidR="00677159" w:rsidRPr="00677159" w:rsidRDefault="00677159" w:rsidP="00677159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4B401DB" w14:textId="750CD626" w:rsidR="00451497" w:rsidRPr="00677159" w:rsidRDefault="00677159" w:rsidP="00677159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B24FE" w:rsidRPr="00677159" w14:paraId="067BB7BC" w14:textId="77777777" w:rsidTr="00931234">
        <w:tc>
          <w:tcPr>
            <w:tcW w:w="3227" w:type="dxa"/>
          </w:tcPr>
          <w:p w14:paraId="7909ECFF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CD5F098" w14:textId="77777777" w:rsidR="006B24FE" w:rsidRPr="00677159" w:rsidRDefault="006B24FE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677159" w14:paraId="5A87245B" w14:textId="77777777" w:rsidTr="00931234">
        <w:tc>
          <w:tcPr>
            <w:tcW w:w="3227" w:type="dxa"/>
          </w:tcPr>
          <w:p w14:paraId="534469D5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029CF59C" w14:textId="5CF3BF00" w:rsidR="006B24FE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677159" w14:paraId="1BB1448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D8AAA3B" w14:textId="77777777" w:rsidR="006B24FE" w:rsidRPr="00677159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677159" w14:paraId="4361AD84" w14:textId="77777777" w:rsidTr="00931234">
        <w:tc>
          <w:tcPr>
            <w:tcW w:w="3227" w:type="dxa"/>
          </w:tcPr>
          <w:p w14:paraId="7A9E66CC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9DAA110" w14:textId="16716F0B" w:rsidR="006B24FE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diharapkan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menarik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mempresentasikannya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komunikatif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677159" w14:paraId="39E619E7" w14:textId="77777777" w:rsidTr="00931234">
        <w:tc>
          <w:tcPr>
            <w:tcW w:w="3227" w:type="dxa"/>
          </w:tcPr>
          <w:p w14:paraId="154A7E77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5E26914" w14:textId="6B489C1E" w:rsidR="006B24FE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-</w:t>
            </w:r>
          </w:p>
        </w:tc>
      </w:tr>
      <w:tr w:rsidR="006B24FE" w:rsidRPr="00677159" w14:paraId="2209855B" w14:textId="77777777" w:rsidTr="00931234">
        <w:tc>
          <w:tcPr>
            <w:tcW w:w="3227" w:type="dxa"/>
          </w:tcPr>
          <w:p w14:paraId="4B7C9380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5337483" w14:textId="67CFAF7C" w:rsidR="006B24FE" w:rsidRPr="00677159" w:rsidRDefault="00451497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berupa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iklan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oleh masing-masing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terbaru</w:t>
            </w:r>
            <w:proofErr w:type="spellEnd"/>
          </w:p>
        </w:tc>
      </w:tr>
      <w:tr w:rsidR="006B24FE" w:rsidRPr="00677159" w14:paraId="7C3DC43C" w14:textId="77777777" w:rsidTr="00931234">
        <w:tc>
          <w:tcPr>
            <w:tcW w:w="3227" w:type="dxa"/>
          </w:tcPr>
          <w:p w14:paraId="624DBDA3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11A6266" w14:textId="0C2E3D3C" w:rsidR="006B24FE" w:rsidRPr="00677159" w:rsidRDefault="008D0950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Ceramah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tutorial,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membaca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artikel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presentasi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, Project Market Research (PMR). Google Classroom. zoom</w:t>
            </w:r>
          </w:p>
        </w:tc>
      </w:tr>
      <w:tr w:rsidR="006B24FE" w:rsidRPr="00677159" w14:paraId="766E1AD0" w14:textId="77777777" w:rsidTr="00931234">
        <w:tc>
          <w:tcPr>
            <w:tcW w:w="3227" w:type="dxa"/>
          </w:tcPr>
          <w:p w14:paraId="689E2230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EEA87F2" w14:textId="0E76213D" w:rsidR="006B24FE" w:rsidRPr="00677159" w:rsidRDefault="006B24FE" w:rsidP="008D095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677159" w14:paraId="0153EA77" w14:textId="77777777" w:rsidTr="00931234">
        <w:tc>
          <w:tcPr>
            <w:tcW w:w="3227" w:type="dxa"/>
          </w:tcPr>
          <w:p w14:paraId="79079DD6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2D71BD8" w14:textId="28313562" w:rsidR="006B24FE" w:rsidRPr="00677159" w:rsidRDefault="008D0950" w:rsidP="000F4893">
            <w:pPr>
              <w:spacing w:line="276" w:lineRule="auto"/>
              <w:rPr>
                <w:rFonts w:ascii="Cambria Math" w:hAnsi="Cambria Math"/>
                <w:bCs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Kehadiran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,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partisipasi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diskusi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 dan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ketepatan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dalam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menjelaskan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Cs/>
                <w:sz w:val="24"/>
                <w:szCs w:val="24"/>
              </w:rPr>
              <w:t>konsep</w:t>
            </w:r>
            <w:proofErr w:type="spellEnd"/>
            <w:r w:rsidRPr="00677159">
              <w:rPr>
                <w:rFonts w:ascii="Cambria Math" w:hAnsi="Cambria Math"/>
                <w:bCs/>
                <w:sz w:val="24"/>
                <w:szCs w:val="24"/>
              </w:rPr>
              <w:t>.</w:t>
            </w:r>
          </w:p>
        </w:tc>
      </w:tr>
      <w:tr w:rsidR="006B24FE" w:rsidRPr="00677159" w14:paraId="46DF8594" w14:textId="77777777" w:rsidTr="00931234">
        <w:tc>
          <w:tcPr>
            <w:tcW w:w="3227" w:type="dxa"/>
          </w:tcPr>
          <w:p w14:paraId="0B56852A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13F5D00" w14:textId="77777777" w:rsidR="006B24FE" w:rsidRPr="00677159" w:rsidRDefault="006B24FE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7715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677159" w14:paraId="730E9AAE" w14:textId="77777777" w:rsidTr="00931234">
        <w:tc>
          <w:tcPr>
            <w:tcW w:w="3227" w:type="dxa"/>
          </w:tcPr>
          <w:p w14:paraId="08146648" w14:textId="77777777" w:rsidR="006B24FE" w:rsidRPr="0067715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14:paraId="11A49C58" w14:textId="4A127784" w:rsidR="006B24FE" w:rsidRPr="00677159" w:rsidRDefault="00197046" w:rsidP="0019704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Pendukung</w:t>
            </w:r>
            <w:proofErr w:type="spellEnd"/>
          </w:p>
        </w:tc>
      </w:tr>
      <w:tr w:rsidR="006B24FE" w:rsidRPr="00677159" w14:paraId="7734173D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125106B1" w14:textId="77777777" w:rsidR="006B24FE" w:rsidRPr="00677159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497A62FB" w14:textId="77777777" w:rsidR="006B24FE" w:rsidRPr="00677159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677159" w14:paraId="2C36B606" w14:textId="77777777" w:rsidTr="000F4893">
        <w:tc>
          <w:tcPr>
            <w:tcW w:w="3227" w:type="dxa"/>
            <w:shd w:val="clear" w:color="auto" w:fill="auto"/>
          </w:tcPr>
          <w:p w14:paraId="246C7A1F" w14:textId="77777777" w:rsidR="006B24FE" w:rsidRPr="00677159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677159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7095AD95" w14:textId="77777777" w:rsidR="006B24FE" w:rsidRPr="00677159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3931216B" w14:textId="77777777" w:rsidR="006B24FE" w:rsidRPr="00677159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2CDBDC1D" w14:textId="77777777" w:rsidR="006B24FE" w:rsidRPr="00677159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09982100" w14:textId="77777777" w:rsidR="006B24FE" w:rsidRPr="00677159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677159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49F1C06C" w14:textId="77777777" w:rsidR="00852E7F" w:rsidRPr="00677159" w:rsidRDefault="00852E7F">
      <w:pPr>
        <w:rPr>
          <w:rFonts w:ascii="Cambria Math" w:hAnsi="Cambria Math"/>
          <w:sz w:val="24"/>
          <w:szCs w:val="24"/>
        </w:rPr>
      </w:pPr>
    </w:p>
    <w:p w14:paraId="5A6FCA92" w14:textId="77777777" w:rsidR="007F6DD1" w:rsidRPr="00677159" w:rsidRDefault="007F6DD1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677159" w14:paraId="627DFD19" w14:textId="77777777" w:rsidTr="007F6DD1">
        <w:tc>
          <w:tcPr>
            <w:tcW w:w="6204" w:type="dxa"/>
          </w:tcPr>
          <w:p w14:paraId="0DBB2CFE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60B9B99A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50124507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7EEEF96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46A49B9" w14:textId="77777777" w:rsidR="005C25D4" w:rsidRPr="00677159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C9B1E32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5E20B6D" w14:textId="77777777" w:rsidR="007F6DD1" w:rsidRPr="00677159" w:rsidRDefault="00E07E92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3BDD3555" w14:textId="77777777" w:rsidR="007F6DD1" w:rsidRPr="00677159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 w:rsidRPr="00677159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3053C476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 w:rsidRPr="00677159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677159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18A4C0C1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03837672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563AE15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C1A3E16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5CC9F64" w14:textId="77777777" w:rsidR="005C25D4" w:rsidRPr="00677159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60BB185" w14:textId="77777777" w:rsidR="007F6DD1" w:rsidRPr="00677159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677159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677159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29A60E44" w14:textId="77777777" w:rsidR="007F6DD1" w:rsidRPr="00677159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677159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1663A358" w14:textId="77777777" w:rsidR="007F6DD1" w:rsidRDefault="007F6DD1"/>
    <w:p w14:paraId="077E12BB" w14:textId="77777777" w:rsidR="00931234" w:rsidRDefault="00931234"/>
    <w:p w14:paraId="0AA14669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368D" w14:textId="77777777" w:rsidR="00217B4D" w:rsidRDefault="00217B4D" w:rsidP="000F4893">
      <w:pPr>
        <w:spacing w:after="0" w:line="240" w:lineRule="auto"/>
      </w:pPr>
      <w:r>
        <w:separator/>
      </w:r>
    </w:p>
  </w:endnote>
  <w:endnote w:type="continuationSeparator" w:id="0">
    <w:p w14:paraId="0437A30C" w14:textId="77777777" w:rsidR="00217B4D" w:rsidRDefault="00217B4D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197046" w14:paraId="55BA0E8B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AD558BD" w14:textId="77777777" w:rsidR="00197046" w:rsidRPr="000F4893" w:rsidRDefault="00197046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197046" w14:paraId="16D6836A" w14:textId="77777777">
      <w:tc>
        <w:tcPr>
          <w:tcW w:w="498" w:type="dxa"/>
          <w:tcBorders>
            <w:top w:val="single" w:sz="4" w:space="0" w:color="auto"/>
          </w:tcBorders>
        </w:tcPr>
        <w:p w14:paraId="5DCCDA10" w14:textId="77777777" w:rsidR="00197046" w:rsidRDefault="00197046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197046" w14:paraId="3BE51C15" w14:textId="77777777">
      <w:trPr>
        <w:trHeight w:val="768"/>
      </w:trPr>
      <w:tc>
        <w:tcPr>
          <w:tcW w:w="498" w:type="dxa"/>
        </w:tcPr>
        <w:p w14:paraId="3E7C26B1" w14:textId="77777777" w:rsidR="00197046" w:rsidRDefault="00197046">
          <w:pPr>
            <w:pStyle w:val="Header"/>
          </w:pPr>
        </w:p>
      </w:tc>
    </w:tr>
  </w:tbl>
  <w:p w14:paraId="5F732BEA" w14:textId="77777777" w:rsidR="00197046" w:rsidRDefault="0019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E5C2" w14:textId="77777777" w:rsidR="00217B4D" w:rsidRDefault="00217B4D" w:rsidP="000F4893">
      <w:pPr>
        <w:spacing w:after="0" w:line="240" w:lineRule="auto"/>
      </w:pPr>
      <w:r>
        <w:separator/>
      </w:r>
    </w:p>
  </w:footnote>
  <w:footnote w:type="continuationSeparator" w:id="0">
    <w:p w14:paraId="7094BB23" w14:textId="77777777" w:rsidR="00217B4D" w:rsidRDefault="00217B4D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2B4"/>
    <w:multiLevelType w:val="hybridMultilevel"/>
    <w:tmpl w:val="DB1C77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3D6F"/>
    <w:multiLevelType w:val="hybridMultilevel"/>
    <w:tmpl w:val="E2E4E6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002E9"/>
    <w:multiLevelType w:val="hybridMultilevel"/>
    <w:tmpl w:val="818096F2"/>
    <w:lvl w:ilvl="0" w:tplc="3809000F">
      <w:start w:val="1"/>
      <w:numFmt w:val="decimal"/>
      <w:lvlText w:val="%1."/>
      <w:lvlJc w:val="left"/>
      <w:pPr>
        <w:ind w:left="754" w:hanging="360"/>
      </w:p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70269"/>
    <w:rsid w:val="00093922"/>
    <w:rsid w:val="000B14A7"/>
    <w:rsid w:val="000F4893"/>
    <w:rsid w:val="0014751A"/>
    <w:rsid w:val="00161E20"/>
    <w:rsid w:val="00197046"/>
    <w:rsid w:val="001E4256"/>
    <w:rsid w:val="001F1AE3"/>
    <w:rsid w:val="0021021E"/>
    <w:rsid w:val="00217B4D"/>
    <w:rsid w:val="00261F00"/>
    <w:rsid w:val="00297197"/>
    <w:rsid w:val="002F4BB5"/>
    <w:rsid w:val="00317E91"/>
    <w:rsid w:val="0034639A"/>
    <w:rsid w:val="0038070D"/>
    <w:rsid w:val="0039729F"/>
    <w:rsid w:val="003B46B5"/>
    <w:rsid w:val="003E3D87"/>
    <w:rsid w:val="003E7CBB"/>
    <w:rsid w:val="003F1442"/>
    <w:rsid w:val="00400A47"/>
    <w:rsid w:val="00435A6E"/>
    <w:rsid w:val="00451497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72D5E"/>
    <w:rsid w:val="005C08FF"/>
    <w:rsid w:val="005C25D4"/>
    <w:rsid w:val="005C6AE0"/>
    <w:rsid w:val="005E23B3"/>
    <w:rsid w:val="005F4E03"/>
    <w:rsid w:val="006078F7"/>
    <w:rsid w:val="0062160E"/>
    <w:rsid w:val="00677159"/>
    <w:rsid w:val="006A31BE"/>
    <w:rsid w:val="006B24FE"/>
    <w:rsid w:val="006D12FC"/>
    <w:rsid w:val="006E302D"/>
    <w:rsid w:val="006F34C6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632BE"/>
    <w:rsid w:val="00895532"/>
    <w:rsid w:val="008B768C"/>
    <w:rsid w:val="008C1228"/>
    <w:rsid w:val="008D0950"/>
    <w:rsid w:val="008E1AE5"/>
    <w:rsid w:val="00931234"/>
    <w:rsid w:val="0093725A"/>
    <w:rsid w:val="00956596"/>
    <w:rsid w:val="009738F9"/>
    <w:rsid w:val="009A0EC9"/>
    <w:rsid w:val="009A5875"/>
    <w:rsid w:val="00A04837"/>
    <w:rsid w:val="00A04942"/>
    <w:rsid w:val="00A518AF"/>
    <w:rsid w:val="00A81588"/>
    <w:rsid w:val="00AC229D"/>
    <w:rsid w:val="00B6261D"/>
    <w:rsid w:val="00B669B6"/>
    <w:rsid w:val="00B70C1C"/>
    <w:rsid w:val="00C64A17"/>
    <w:rsid w:val="00C66A36"/>
    <w:rsid w:val="00CB1602"/>
    <w:rsid w:val="00CF64AA"/>
    <w:rsid w:val="00D3527C"/>
    <w:rsid w:val="00D360D8"/>
    <w:rsid w:val="00E07E92"/>
    <w:rsid w:val="00E15A5D"/>
    <w:rsid w:val="00E2671D"/>
    <w:rsid w:val="00E30562"/>
    <w:rsid w:val="00EB2B59"/>
    <w:rsid w:val="00EF16F3"/>
    <w:rsid w:val="00F5475D"/>
    <w:rsid w:val="00FA58F8"/>
    <w:rsid w:val="00FC333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D1FE1"/>
  <w15:docId w15:val="{5E6078D1-6269-4BB2-A7C2-BBD46CF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2021-12-06T04:12:00Z</dcterms:created>
  <dcterms:modified xsi:type="dcterms:W3CDTF">2021-12-09T06:18:00Z</dcterms:modified>
</cp:coreProperties>
</file>