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682B8A98" w:rsidR="00AF648D" w:rsidRDefault="000C6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PEMASARAN INTERNASIONAL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6E52096F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</w:t>
            </w:r>
            <w:r w:rsidR="00C3453A">
              <w:rPr>
                <w:sz w:val="24"/>
                <w:szCs w:val="24"/>
              </w:rPr>
              <w:t>36</w:t>
            </w:r>
            <w:r w:rsidR="000C6E73">
              <w:rPr>
                <w:sz w:val="24"/>
                <w:szCs w:val="24"/>
              </w:rPr>
              <w:t>45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28012B0F" w:rsidR="00AF648D" w:rsidRDefault="0037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43BA5DA8" w:rsidR="00AF648D" w:rsidRDefault="00A25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Amir Iskandar, S.E.,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4B7B82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1C6AE262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norma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akademik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>. (S8)</w:t>
            </w:r>
          </w:p>
        </w:tc>
      </w:tr>
      <w:tr w:rsidR="004B7B82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5D3D85A2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Menunjukkan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sikap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>. (S9)</w:t>
            </w:r>
          </w:p>
        </w:tc>
      </w:tr>
      <w:tr w:rsidR="004B7B82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56977CD3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semangat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kemandirian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kejuangan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F31919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F31919">
              <w:rPr>
                <w:rFonts w:ascii="Cambria Math" w:hAnsi="Cambria Math"/>
                <w:sz w:val="24"/>
                <w:szCs w:val="24"/>
              </w:rPr>
              <w:t>. (S10)</w:t>
            </w:r>
          </w:p>
        </w:tc>
      </w:tr>
      <w:tr w:rsidR="004B7B82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7B8C8C06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836716">
              <w:rPr>
                <w:rFonts w:ascii="Cambria Math" w:hAnsi="Cambria Math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836716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836716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836716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inovatif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konteks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836716">
              <w:rPr>
                <w:rFonts w:ascii="Cambria Math" w:hAnsi="Cambria Math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5"/>
                <w:sz w:val="24"/>
                <w:szCs w:val="24"/>
              </w:rPr>
              <w:t xml:space="preserve"> </w:t>
            </w:r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yang</w:t>
            </w:r>
            <w:r w:rsidRPr="00836716">
              <w:rPr>
                <w:rFonts w:ascii="Cambria Math" w:hAnsi="Cambria Math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memperhatikan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nilai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>. (KU1)</w:t>
            </w:r>
          </w:p>
        </w:tc>
      </w:tr>
      <w:tr w:rsidR="004B7B82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373304A9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>bermutu</w:t>
            </w:r>
            <w:proofErr w:type="spellEnd"/>
            <w:r w:rsidRPr="00836716">
              <w:rPr>
                <w:rFonts w:ascii="Cambria Math" w:hAnsi="Cambria Math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836716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4B7B82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1F1772CF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implikasi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pengembangan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implementasi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ilmu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pengetahuan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memperhatikan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kaidah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tata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cara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ilmiah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rangka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menghasilkan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gagasan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kritik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seni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deskripsi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saintifik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kajiannya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bentuk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skripsi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laporan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tugas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akhir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mengunggahnya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laman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perguruan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tinggi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>. (KU3)</w:t>
            </w:r>
          </w:p>
        </w:tc>
      </w:tr>
      <w:tr w:rsidR="004B7B82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3F5DE7D6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pencapaian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supervisi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penyelesaian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ditugaskan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kepada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pekerja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bawah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tanggungjawabnya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>. (KU7)</w:t>
            </w:r>
          </w:p>
        </w:tc>
      </w:tr>
      <w:tr w:rsidR="004B7B82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135C7B24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diri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dibawah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tanggung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jawabnya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36716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836716">
              <w:rPr>
                <w:rFonts w:ascii="Cambria Math" w:hAnsi="Cambria Math"/>
                <w:sz w:val="24"/>
                <w:szCs w:val="24"/>
              </w:rPr>
              <w:t>. (KU8)</w:t>
            </w:r>
          </w:p>
        </w:tc>
      </w:tr>
      <w:tr w:rsidR="004B7B82" w14:paraId="2908F97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CC69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BD27" w14:textId="10329A7C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2EF2" w14:textId="3969DAB0" w:rsidR="004B7B82" w:rsidRPr="00836716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pengorganisasian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penyusunan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staf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) pada level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maupun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non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nasional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dan global.</w:t>
            </w:r>
            <w:r w:rsidRPr="005D5D43">
              <w:rPr>
                <w:rFonts w:ascii="Cambria Math" w:hAnsi="Cambria Math"/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4B7B82" w14:paraId="2AFBA14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43E2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1B28" w14:textId="549C26C0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9024" w14:textId="2CF764CF" w:rsidR="004B7B82" w:rsidRPr="00836716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pada level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tindakan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solutif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alternative yang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dikembangkan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prinsip-prinsip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berakar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kearifan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>. (KK3)</w:t>
            </w:r>
          </w:p>
        </w:tc>
      </w:tr>
      <w:tr w:rsidR="004B7B82" w14:paraId="1CEAE63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EAE6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45AF" w14:textId="0937C3EC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1309" w14:textId="29E32EFE" w:rsidR="004B7B82" w:rsidRPr="00836716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data dan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D5D43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5D5D43">
              <w:rPr>
                <w:rFonts w:ascii="Cambria Math" w:hAnsi="Cambria Math"/>
                <w:sz w:val="24"/>
                <w:szCs w:val="24"/>
              </w:rPr>
              <w:t>. (KK5)</w:t>
            </w:r>
          </w:p>
        </w:tc>
      </w:tr>
      <w:tr w:rsidR="004B7B82" w14:paraId="1252BD2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6F77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29A2" w14:textId="2F219483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FA00" w14:textId="5499C03E" w:rsidR="004B7B82" w:rsidRPr="00836716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teoritis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perangkat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pelaksanaan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pemantauan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) dan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sumber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manusia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) pada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jenis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. (P1) </w:t>
            </w:r>
          </w:p>
        </w:tc>
      </w:tr>
      <w:tr w:rsidR="004B7B82" w14:paraId="691110D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2B0E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802B" w14:textId="7002DF5D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C16B" w14:textId="2970EE41" w:rsidR="004B7B82" w:rsidRPr="00836716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prinsip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kepemimpinan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F4534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F4534">
              <w:rPr>
                <w:rFonts w:ascii="Cambria Math" w:hAnsi="Cambria Math"/>
                <w:sz w:val="24"/>
                <w:szCs w:val="24"/>
              </w:rPr>
              <w:t>. (P3)</w:t>
            </w:r>
          </w:p>
        </w:tc>
      </w:tr>
      <w:tr w:rsidR="004B7B82" w14:paraId="5E52FDD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08AB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4B7B" w14:textId="1FD9D6DB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92D6" w14:textId="7EC9A4C8" w:rsidR="004B7B82" w:rsidRPr="008F4534" w:rsidRDefault="004B7B82" w:rsidP="004B7B8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minimal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satu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penelitian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studi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kesejarahan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survei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simulasi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eksperimen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lingkup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kualitatif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kuantitatif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eksploratif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deskriptif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verifikatif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). (P5)</w:t>
            </w:r>
          </w:p>
        </w:tc>
      </w:tr>
      <w:tr w:rsidR="00AF648D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0B02A1C0" w:rsidR="00AF648D" w:rsidRDefault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gambaran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utuh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tentang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beroperasi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pasar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global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mengembangkan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mengimplementasikan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konteks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/global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lebih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kompleks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berubah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dinamis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3850" w14:textId="77777777" w:rsidR="004B7B82" w:rsidRDefault="004B7B82" w:rsidP="00AA024B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pengertian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, dan global</w:t>
            </w:r>
          </w:p>
          <w:p w14:paraId="77664F0E" w14:textId="41195BE5" w:rsidR="00AF648D" w:rsidRPr="004B7B82" w:rsidRDefault="004B7B82" w:rsidP="00AA024B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tipologi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perusahaanperusahaan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sampai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</w:tr>
      <w:tr w:rsidR="004B7B82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8D8C" w14:textId="77777777" w:rsidR="004B7B82" w:rsidRPr="004B7B82" w:rsidRDefault="004B7B82" w:rsidP="00AA02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factor-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 di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  <w:p w14:paraId="7F985426" w14:textId="60611B7C" w:rsidR="004B7B82" w:rsidRPr="004B7B82" w:rsidRDefault="004B7B82" w:rsidP="00AA024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global, regional dan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saing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suatu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negara,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peranan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persaingan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global.</w:t>
            </w:r>
          </w:p>
        </w:tc>
      </w:tr>
      <w:tr w:rsidR="004B7B82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3AAEB62C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keterkaitan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global,dalam</w:t>
            </w:r>
            <w:proofErr w:type="spellEnd"/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</w:tr>
      <w:tr w:rsidR="004B7B82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5FA015B9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pengaruh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faktor-faktor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sosial-budaya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</w:tr>
      <w:tr w:rsidR="004B7B82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70D77EDC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faktor-faktor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politik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hukum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</w:tr>
      <w:tr w:rsidR="004B7B82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06AA6C27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caracara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segmentasi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targeting, dan positioning di pasar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/global</w:t>
            </w:r>
          </w:p>
        </w:tc>
      </w:tr>
      <w:tr w:rsidR="004B7B82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0A2F4826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,</w:t>
            </w:r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membangun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pasar global</w:t>
            </w:r>
          </w:p>
        </w:tc>
      </w:tr>
      <w:tr w:rsidR="004B7B82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</w:tr>
      <w:tr w:rsidR="004B7B82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40A74AFC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masuk ke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suatu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pasar host country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keuntungan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kerugian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masing-masing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dipilih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4B7B82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0420F736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bagaimana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/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mereka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4B7B82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08F5D831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mengevaluasi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bagaimana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memasarkan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jasa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4B7B82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61C3B3CD" w:rsidR="004B7B82" w:rsidRDefault="004B7B82" w:rsidP="004B7B82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penentuan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harga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untuk pasar global</w:t>
            </w:r>
          </w:p>
        </w:tc>
      </w:tr>
      <w:tr w:rsidR="004B7B82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195D" w14:textId="77777777" w:rsidR="004B7B82" w:rsidRDefault="004B7B82" w:rsidP="00AA024B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342" w:hanging="284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menentukan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pengelolaan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komunikasi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  <w:p w14:paraId="43F17F1D" w14:textId="645EF0DC" w:rsidR="004B7B82" w:rsidRPr="004B7B82" w:rsidRDefault="004B7B82" w:rsidP="00AA024B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342" w:hanging="284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4B7B82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4B7B82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</w:tr>
      <w:tr w:rsidR="004B7B82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1E12" w14:textId="77777777" w:rsidR="004B7B82" w:rsidRDefault="004B7B82" w:rsidP="00AA024B">
            <w:pPr>
              <w:pStyle w:val="ListParagraph"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marketing in Emerging Markets</w:t>
            </w:r>
          </w:p>
          <w:p w14:paraId="3B1DD4AB" w14:textId="2A783878" w:rsidR="004B7B82" w:rsidRPr="004B7B82" w:rsidRDefault="004B7B82" w:rsidP="00AA024B">
            <w:pPr>
              <w:pStyle w:val="ListParagraph"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4B7B82">
              <w:rPr>
                <w:rFonts w:ascii="Cambria Math" w:hAnsi="Cambria Math"/>
                <w:sz w:val="24"/>
                <w:szCs w:val="24"/>
              </w:rPr>
              <w:t>Global Marketing and Internet</w:t>
            </w:r>
          </w:p>
        </w:tc>
      </w:tr>
      <w:tr w:rsidR="004B7B82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912C" w14:textId="77777777" w:rsidR="004B7B82" w:rsidRDefault="004B7B82" w:rsidP="00AA024B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marketing in Emerging Markets</w:t>
            </w:r>
          </w:p>
          <w:p w14:paraId="1C372DE7" w14:textId="1C03E18D" w:rsidR="004B7B82" w:rsidRPr="004B7B82" w:rsidRDefault="004B7B82" w:rsidP="00AA024B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4B7B82">
              <w:rPr>
                <w:rFonts w:ascii="Cambria Math" w:hAnsi="Cambria Math"/>
                <w:sz w:val="24"/>
                <w:szCs w:val="24"/>
              </w:rPr>
              <w:t>Global Marketing and Internet</w:t>
            </w:r>
          </w:p>
        </w:tc>
      </w:tr>
      <w:tr w:rsidR="004B7B82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4B7B82" w:rsidRDefault="004B7B82" w:rsidP="004B7B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</w:tr>
      <w:tr w:rsidR="004B7B82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4B7B82" w:rsidRDefault="004B7B82" w:rsidP="004B7B82">
            <w:pPr>
              <w:rPr>
                <w:sz w:val="24"/>
                <w:szCs w:val="24"/>
              </w:rPr>
            </w:pPr>
          </w:p>
        </w:tc>
      </w:tr>
      <w:tr w:rsidR="004B7B82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7E4A74CA" w:rsidR="004B7B82" w:rsidRPr="00C3453A" w:rsidRDefault="004B7B82" w:rsidP="004B7B82">
            <w:pPr>
              <w:jc w:val="both"/>
              <w:rPr>
                <w:sz w:val="24"/>
                <w:szCs w:val="24"/>
              </w:rPr>
            </w:pPr>
          </w:p>
        </w:tc>
      </w:tr>
      <w:tr w:rsidR="004B7B82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6BAC2F00" w:rsidR="004B7B82" w:rsidRDefault="004B7B82" w:rsidP="004B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B7B82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4B7B82" w:rsidRDefault="004B7B82" w:rsidP="004B7B82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4B7B82" w:rsidRDefault="004B7B82" w:rsidP="004B7B82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4B7B82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360F" w14:textId="77777777" w:rsidR="004B7B82" w:rsidRPr="007E5A4E" w:rsidRDefault="004B7B82" w:rsidP="00AA024B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Kotabe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M. &amp;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Helsen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K. (2011), Global marketing Management, 5 </w:t>
            </w:r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ed ,</w:t>
            </w:r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New Jersey: John Wiley &amp; Sons, Inc.</w:t>
            </w:r>
          </w:p>
          <w:p w14:paraId="78CE8588" w14:textId="77777777" w:rsidR="004B7B82" w:rsidRPr="007E5A4E" w:rsidRDefault="004B7B82" w:rsidP="00AA024B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Keegan, W.J. &amp; Green, M.C. (2015), Global Marketing,8 </w:t>
            </w:r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ed ,</w:t>
            </w:r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>. USA: Pearson Prentice Hall.</w:t>
            </w:r>
          </w:p>
          <w:p w14:paraId="25E5B96E" w14:textId="77777777" w:rsidR="004B7B82" w:rsidRPr="007E5A4E" w:rsidRDefault="004B7B82" w:rsidP="00AA024B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Kotabe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M &amp;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Helsen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K (2008), International Marketing, 2ed, John Wiley &amp; Sons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Australia,Ltd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  <w:proofErr w:type="gramEnd"/>
          </w:p>
          <w:p w14:paraId="690DA41A" w14:textId="790787A6" w:rsidR="004B7B82" w:rsidRPr="00DA069A" w:rsidRDefault="004B7B82" w:rsidP="00AA024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Johansson K.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Johny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(2009), Global Marketing: Foreign Entry, Local Marketing &amp; Global Management, McGraw-Hill</w:t>
            </w:r>
          </w:p>
        </w:tc>
      </w:tr>
      <w:tr w:rsidR="004B7B82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4B7B82" w:rsidRDefault="004B7B82" w:rsidP="004B7B8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4B7B82" w:rsidRDefault="004B7B82" w:rsidP="004B7B82">
            <w:pPr>
              <w:rPr>
                <w:sz w:val="24"/>
                <w:szCs w:val="24"/>
              </w:rPr>
            </w:pPr>
          </w:p>
        </w:tc>
      </w:tr>
      <w:tr w:rsidR="004B7B82" w14:paraId="07FA4B72" w14:textId="77777777" w:rsidTr="004B7B82">
        <w:trPr>
          <w:trHeight w:val="25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4B7B82" w:rsidRDefault="004B7B82" w:rsidP="004B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6D506B7" w:rsidR="004B7B82" w:rsidRPr="00DA069A" w:rsidRDefault="004B7B82" w:rsidP="004B7B82">
            <w:pPr>
              <w:ind w:left="469"/>
              <w:jc w:val="both"/>
              <w:rPr>
                <w:sz w:val="24"/>
                <w:szCs w:val="24"/>
              </w:rPr>
            </w:pPr>
          </w:p>
        </w:tc>
      </w:tr>
      <w:tr w:rsidR="004B7B82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74E64B59" w:rsidR="004B7B82" w:rsidRDefault="004B7B82" w:rsidP="004B7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Amir Iskandar, S.E., M.M</w:t>
            </w:r>
          </w:p>
        </w:tc>
      </w:tr>
      <w:tr w:rsidR="004B7B82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4B7B82" w:rsidRDefault="004B7B82" w:rsidP="004B7B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4B7B82" w:rsidRDefault="004B7B82" w:rsidP="004B7B82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D16456" w14:paraId="3F8003D4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16456" w:rsidRDefault="00D16456" w:rsidP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629C0" w14:textId="77777777" w:rsidR="002523D4" w:rsidRPr="002523D4" w:rsidRDefault="002523D4" w:rsidP="00AA024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pengertian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>, dan global</w:t>
            </w:r>
          </w:p>
          <w:p w14:paraId="0FDEF7A4" w14:textId="517C8736" w:rsidR="00D16456" w:rsidRPr="002523D4" w:rsidRDefault="002523D4" w:rsidP="00AA024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tipologi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perusahaanperusahaan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sampai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0FAEA6CD" w:rsidR="00D16456" w:rsidRDefault="002523D4" w:rsidP="00D1645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dan global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membedakan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jenis-jenis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multinasional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705918" w14:textId="77777777" w:rsidR="002523D4" w:rsidRPr="007E5A4E" w:rsidRDefault="002523D4" w:rsidP="002523D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046E97E" w14:textId="77777777" w:rsidR="002523D4" w:rsidRPr="007E5A4E" w:rsidRDefault="002523D4" w:rsidP="002523D4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59D3F8AC" w14:textId="4B7870F2" w:rsidR="00D16456" w:rsidRDefault="00D16456" w:rsidP="002523D4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1C050" w14:textId="77777777" w:rsidR="002523D4" w:rsidRPr="007E5A4E" w:rsidRDefault="002523D4" w:rsidP="002523D4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7E5A4E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276512DF" w:rsidR="00D16456" w:rsidRPr="00DA069A" w:rsidRDefault="00DA069A">
            <w:pPr>
              <w:jc w:val="center"/>
              <w:rPr>
                <w:sz w:val="24"/>
                <w:szCs w:val="24"/>
              </w:rPr>
            </w:pPr>
            <w:r w:rsidRPr="00DA06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6B5F2" w14:textId="77777777" w:rsidR="00D16456" w:rsidRDefault="002523D4" w:rsidP="002523D4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474F6A6" w14:textId="2D31615F" w:rsidR="002523D4" w:rsidRDefault="002523D4" w:rsidP="002523D4">
            <w:pPr>
              <w:rPr>
                <w:b/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3B56B4" w14:textId="77777777" w:rsidR="002523D4" w:rsidRPr="002523D4" w:rsidRDefault="002523D4" w:rsidP="002523D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t>Materi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</w:p>
          <w:p w14:paraId="75722D2B" w14:textId="77777777" w:rsidR="002523D4" w:rsidRPr="007E5A4E" w:rsidRDefault="002523D4" w:rsidP="00AA024B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dan global </w:t>
            </w:r>
          </w:p>
          <w:p w14:paraId="134D3F7E" w14:textId="77777777" w:rsidR="00D16456" w:rsidRDefault="002523D4" w:rsidP="00AA024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Tipologi</w:t>
            </w:r>
            <w:proofErr w:type="spellEnd"/>
            <w:r w:rsidRPr="002523D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523D4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2523D4">
              <w:rPr>
                <w:sz w:val="24"/>
                <w:szCs w:val="24"/>
              </w:rPr>
              <w:br/>
            </w:r>
            <w:proofErr w:type="spellStart"/>
            <w:r w:rsidRPr="002523D4">
              <w:rPr>
                <w:sz w:val="24"/>
                <w:szCs w:val="24"/>
              </w:rPr>
              <w:t>Pustaka</w:t>
            </w:r>
            <w:proofErr w:type="spellEnd"/>
            <w:r w:rsidRPr="002523D4">
              <w:rPr>
                <w:sz w:val="24"/>
                <w:szCs w:val="24"/>
              </w:rPr>
              <w:t xml:space="preserve">: </w:t>
            </w:r>
            <w:r w:rsidRPr="002523D4">
              <w:rPr>
                <w:sz w:val="24"/>
                <w:szCs w:val="24"/>
              </w:rPr>
              <w:br/>
            </w:r>
            <w:proofErr w:type="gramStart"/>
            <w:r w:rsidRPr="002523D4">
              <w:rPr>
                <w:sz w:val="24"/>
                <w:szCs w:val="24"/>
              </w:rPr>
              <w:t>1.Utama</w:t>
            </w:r>
            <w:proofErr w:type="gramEnd"/>
            <w:r w:rsidRPr="002523D4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2523D4">
              <w:rPr>
                <w:sz w:val="24"/>
                <w:szCs w:val="24"/>
              </w:rPr>
              <w:t>Pendukung</w:t>
            </w:r>
            <w:proofErr w:type="spellEnd"/>
          </w:p>
          <w:p w14:paraId="27F49CF8" w14:textId="77777777" w:rsidR="002523D4" w:rsidRDefault="002523D4" w:rsidP="002523D4">
            <w:pPr>
              <w:rPr>
                <w:sz w:val="24"/>
                <w:szCs w:val="24"/>
              </w:rPr>
            </w:pPr>
          </w:p>
          <w:p w14:paraId="56270F4D" w14:textId="256DF067" w:rsidR="002523D4" w:rsidRPr="002523D4" w:rsidRDefault="002523D4" w:rsidP="002523D4">
            <w:pPr>
              <w:rPr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  <w:r w:rsidRPr="006735CE">
              <w:rPr>
                <w:sz w:val="24"/>
                <w:szCs w:val="24"/>
              </w:rPr>
              <w:t xml:space="preserve"> 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77777777" w:rsidR="00D16456" w:rsidRDefault="00D16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23D4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2523D4" w:rsidRDefault="002523D4" w:rsidP="002523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63DB6EAC" w:rsidR="002523D4" w:rsidRDefault="002523D4" w:rsidP="002523D4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factor-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di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5918585F" w:rsidR="002523D4" w:rsidRDefault="002523D4" w:rsidP="002523D4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global, regional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suatu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negara,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peranan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persaingan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7318C4" w14:textId="77777777" w:rsidR="002523D4" w:rsidRPr="007E5A4E" w:rsidRDefault="002523D4" w:rsidP="002523D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1689F58A" w14:textId="77777777" w:rsidR="002523D4" w:rsidRPr="007E5A4E" w:rsidRDefault="002523D4" w:rsidP="002523D4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4F231667" w14:textId="0729DF95" w:rsidR="002523D4" w:rsidRDefault="002523D4" w:rsidP="002523D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69BEDE" w14:textId="77777777" w:rsidR="002523D4" w:rsidRPr="007E5A4E" w:rsidRDefault="002523D4" w:rsidP="002523D4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7E5A4E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01F490F" w14:textId="45D09ED2" w:rsidR="002523D4" w:rsidRDefault="002523D4" w:rsidP="002523D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C1E9AD" w14:textId="77777777" w:rsidR="002523D4" w:rsidRDefault="002523D4" w:rsidP="002523D4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B427D8C" w14:textId="0F2E5DC1" w:rsidR="002523D4" w:rsidRDefault="002523D4" w:rsidP="002523D4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AAB75A" w14:textId="77777777" w:rsidR="002523D4" w:rsidRPr="002523D4" w:rsidRDefault="002523D4" w:rsidP="002523D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t>Materi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</w:p>
          <w:p w14:paraId="52BFE110" w14:textId="77777777" w:rsidR="00B16AA8" w:rsidRPr="007E5A4E" w:rsidRDefault="00B16AA8" w:rsidP="00AA024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regional dan global</w:t>
            </w:r>
          </w:p>
          <w:p w14:paraId="521DFB35" w14:textId="77777777" w:rsidR="00B16AA8" w:rsidRDefault="00B16AA8" w:rsidP="00AA024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negara, </w:t>
            </w:r>
          </w:p>
          <w:p w14:paraId="550FDF11" w14:textId="4D9E6F3B" w:rsidR="002523D4" w:rsidRPr="00B16AA8" w:rsidRDefault="00B16AA8" w:rsidP="00AA024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16AA8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B16AA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B16AA8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B16AA8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B16AA8">
              <w:rPr>
                <w:rFonts w:ascii="Cambria Math" w:hAnsi="Cambria Math"/>
                <w:sz w:val="24"/>
                <w:szCs w:val="24"/>
              </w:rPr>
              <w:t>persaingan</w:t>
            </w:r>
            <w:proofErr w:type="spellEnd"/>
            <w:r w:rsidRPr="00B16AA8">
              <w:rPr>
                <w:rFonts w:ascii="Cambria Math" w:hAnsi="Cambria Math"/>
                <w:sz w:val="24"/>
                <w:szCs w:val="24"/>
              </w:rPr>
              <w:t xml:space="preserve"> global</w:t>
            </w:r>
            <w:r w:rsidRPr="00B16AA8">
              <w:rPr>
                <w:sz w:val="24"/>
                <w:szCs w:val="24"/>
              </w:rPr>
              <w:t xml:space="preserve"> </w:t>
            </w:r>
          </w:p>
          <w:p w14:paraId="60D72712" w14:textId="677F8910" w:rsidR="002523D4" w:rsidRDefault="002523D4" w:rsidP="002523D4">
            <w:pPr>
              <w:rPr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  <w:r w:rsidRPr="006735CE">
              <w:rPr>
                <w:sz w:val="24"/>
                <w:szCs w:val="24"/>
              </w:rPr>
              <w:t xml:space="preserve"> 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1, 2, </w:t>
            </w:r>
            <w:r w:rsidR="00B16AA8"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5AFB90A6" w:rsidR="002523D4" w:rsidRDefault="002523D4" w:rsidP="00252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523D4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2523D4" w:rsidRDefault="002523D4" w:rsidP="002523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67C98064" w:rsidR="002523D4" w:rsidRDefault="00B16AA8" w:rsidP="002523D4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keterkaitan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global,dalam</w:t>
            </w:r>
            <w:proofErr w:type="spellEnd"/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154C6BCF" w:rsidR="002523D4" w:rsidRDefault="00B16AA8" w:rsidP="002523D4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tukar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uang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menghubungkan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A13C18" w14:textId="77777777" w:rsidR="00B16AA8" w:rsidRPr="007E5A4E" w:rsidRDefault="00B16AA8" w:rsidP="00B16AA8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08B4A8C" w14:textId="77777777" w:rsidR="00B16AA8" w:rsidRPr="007E5A4E" w:rsidRDefault="00B16AA8" w:rsidP="00B16AA8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027DD016" w14:textId="3D075052" w:rsidR="002523D4" w:rsidRDefault="002523D4" w:rsidP="002523D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544CD5" w14:textId="77777777" w:rsidR="00B16AA8" w:rsidRPr="007E5A4E" w:rsidRDefault="00B16AA8" w:rsidP="00B16AA8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7E5A4E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FA47B50" w14:textId="240B6CA9" w:rsidR="002523D4" w:rsidRDefault="002523D4" w:rsidP="002523D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556D93" w14:textId="77777777" w:rsidR="00B16AA8" w:rsidRDefault="00B16AA8" w:rsidP="00B16AA8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541B830E" w14:textId="355976F2" w:rsidR="002523D4" w:rsidRDefault="00B16AA8" w:rsidP="00B16AA8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BC6630" w14:textId="5367C49D" w:rsidR="000429BE" w:rsidRPr="00B16AA8" w:rsidRDefault="002523D4" w:rsidP="00B16AA8">
            <w:pPr>
              <w:autoSpaceDE/>
              <w:autoSpaceDN/>
              <w:spacing w:after="200"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16AA8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16AA8">
              <w:rPr>
                <w:b/>
                <w:color w:val="000000"/>
                <w:sz w:val="24"/>
                <w:szCs w:val="24"/>
              </w:rPr>
              <w:t>:</w:t>
            </w:r>
          </w:p>
          <w:p w14:paraId="57875181" w14:textId="146638D2" w:rsidR="00B16AA8" w:rsidRPr="007E5A4E" w:rsidRDefault="00B16AA8" w:rsidP="00AA024B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Nilai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tukar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uang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asing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,</w:t>
            </w:r>
          </w:p>
          <w:p w14:paraId="7D4E9DDF" w14:textId="77777777" w:rsidR="00B16AA8" w:rsidRPr="007E5A4E" w:rsidRDefault="00B16AA8" w:rsidP="00AA024B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purchasing dan power parity</w:t>
            </w:r>
          </w:p>
          <w:p w14:paraId="6D5493CE" w14:textId="77777777" w:rsidR="002523D4" w:rsidRPr="00B16AA8" w:rsidRDefault="00B16AA8" w:rsidP="00AA024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B16AA8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B16AA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B16AA8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B16AA8">
              <w:rPr>
                <w:rFonts w:ascii="Cambria Math" w:hAnsi="Cambria Math"/>
                <w:sz w:val="24"/>
                <w:szCs w:val="24"/>
              </w:rPr>
              <w:t xml:space="preserve"> global</w:t>
            </w:r>
            <w:r w:rsidR="002523D4" w:rsidRPr="00B16AA8">
              <w:rPr>
                <w:color w:val="000000"/>
                <w:sz w:val="24"/>
                <w:szCs w:val="24"/>
              </w:rPr>
              <w:br/>
            </w:r>
          </w:p>
          <w:p w14:paraId="3E7F9C82" w14:textId="1E49F695" w:rsidR="00B16AA8" w:rsidRPr="00B16AA8" w:rsidRDefault="00B16AA8" w:rsidP="00B16AA8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  <w:r w:rsidRPr="006735CE">
              <w:rPr>
                <w:sz w:val="24"/>
                <w:szCs w:val="24"/>
              </w:rPr>
              <w:t xml:space="preserve"> 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1, 2, </w:t>
            </w:r>
            <w:r>
              <w:rPr>
                <w:rFonts w:ascii="Cambria Math" w:hAnsi="Cambria Math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42622F6B" w:rsidR="002523D4" w:rsidRDefault="002523D4" w:rsidP="00252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16AA8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B16AA8" w:rsidRDefault="00B16AA8" w:rsidP="00B16A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4805C7E7" w:rsidR="00B16AA8" w:rsidRDefault="00B16AA8" w:rsidP="00B16AA8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pengaruh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faktor-faktor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sosial-budaya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211BC36F" w:rsidR="00B16AA8" w:rsidRDefault="00B16AA8" w:rsidP="00B16AA8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b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elemen-elemen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budaya</w:t>
            </w:r>
            <w:proofErr w:type="spellEnd"/>
            <w:r w:rsidRPr="007E5A4E">
              <w:rPr>
                <w:rFonts w:ascii="Cambria Math" w:hAnsi="Cambria Math"/>
                <w:i/>
                <w:sz w:val="24"/>
                <w:szCs w:val="24"/>
              </w:rPr>
              <w:t>, High and low-context culture, Hofstede's cultural typology</w:t>
            </w:r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b/>
                <w:sz w:val="24"/>
                <w:szCs w:val="24"/>
              </w:rPr>
              <w:t>menghubungkan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bauran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1AAFE6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269336B3" w14:textId="47DAD39C" w:rsidR="00B16AA8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625D9" w14:textId="1B206AB1" w:rsidR="00B16AA8" w:rsidRDefault="00B16AA8" w:rsidP="00B16AA8">
            <w:pPr>
              <w:rPr>
                <w:sz w:val="24"/>
                <w:szCs w:val="24"/>
              </w:rPr>
            </w:pPr>
            <w:r w:rsidRPr="008265F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0E8A78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906F836" w14:textId="3FE309DE" w:rsidR="00B16AA8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240BDD" w14:textId="77777777" w:rsidR="000429BE" w:rsidRPr="00B16AA8" w:rsidRDefault="000429BE" w:rsidP="000429BE">
            <w:pPr>
              <w:autoSpaceDE/>
              <w:autoSpaceDN/>
              <w:spacing w:after="200"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16AA8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B16AA8">
              <w:rPr>
                <w:b/>
                <w:color w:val="000000"/>
                <w:sz w:val="24"/>
                <w:szCs w:val="24"/>
              </w:rPr>
              <w:t>:</w:t>
            </w:r>
          </w:p>
          <w:p w14:paraId="02A2835C" w14:textId="77777777" w:rsidR="000429BE" w:rsidRPr="007E5A4E" w:rsidRDefault="000429BE" w:rsidP="00AA024B">
            <w:pPr>
              <w:pStyle w:val="ListParagraph"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elemen-elemen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</w:p>
          <w:p w14:paraId="2F960763" w14:textId="77777777" w:rsidR="000429BE" w:rsidRPr="007E5A4E" w:rsidRDefault="000429BE" w:rsidP="00AA024B">
            <w:pPr>
              <w:pStyle w:val="ListParagraph"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Hofstede's cultural typology.</w:t>
            </w:r>
          </w:p>
          <w:p w14:paraId="1E5EB9FD" w14:textId="29A625D4" w:rsidR="000429BE" w:rsidRPr="000429BE" w:rsidRDefault="000429BE" w:rsidP="00AA024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Budaya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bauran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0429BE">
              <w:rPr>
                <w:color w:val="000000"/>
                <w:sz w:val="24"/>
                <w:szCs w:val="24"/>
              </w:rPr>
              <w:br/>
            </w:r>
          </w:p>
          <w:p w14:paraId="3B6CE531" w14:textId="0EE37588" w:rsidR="00B16AA8" w:rsidRDefault="000429BE" w:rsidP="000429BE">
            <w:pPr>
              <w:rPr>
                <w:sz w:val="24"/>
                <w:szCs w:val="24"/>
              </w:rPr>
            </w:pPr>
            <w:proofErr w:type="spellStart"/>
            <w:r w:rsidRPr="002523D4">
              <w:rPr>
                <w:b/>
                <w:bCs/>
                <w:sz w:val="24"/>
                <w:szCs w:val="24"/>
              </w:rPr>
              <w:lastRenderedPageBreak/>
              <w:t>Pustaka</w:t>
            </w:r>
            <w:proofErr w:type="spellEnd"/>
            <w:r w:rsidRPr="002523D4">
              <w:rPr>
                <w:b/>
                <w:bCs/>
                <w:sz w:val="24"/>
                <w:szCs w:val="24"/>
              </w:rPr>
              <w:t>:</w:t>
            </w:r>
            <w:r w:rsidRPr="006735CE">
              <w:rPr>
                <w:sz w:val="24"/>
                <w:szCs w:val="24"/>
              </w:rPr>
              <w:t xml:space="preserve"> 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1, 2, </w:t>
            </w:r>
            <w:r>
              <w:rPr>
                <w:rFonts w:ascii="Cambria Math" w:hAnsi="Cambria Math"/>
                <w:sz w:val="24"/>
                <w:szCs w:val="24"/>
              </w:rPr>
              <w:t>3</w:t>
            </w:r>
            <w:r>
              <w:rPr>
                <w:rFonts w:ascii="Cambria Math" w:hAnsi="Cambria Math"/>
                <w:sz w:val="24"/>
                <w:szCs w:val="24"/>
              </w:rPr>
              <w:t>,4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480BD1CF" w:rsidR="00B16AA8" w:rsidRDefault="00B16AA8" w:rsidP="00B1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0429BE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15F61E4B" w:rsidR="000429BE" w:rsidRDefault="000429BE" w:rsidP="000429BE">
            <w:pPr>
              <w:jc w:val="both"/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faktor-faktor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politik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hukum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5D01F3B8" w:rsidR="000429BE" w:rsidRDefault="00662F28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menerangkan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World Economy International Agreements, International Law and Local Legal Environment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70B851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03B5B9EB" w14:textId="575BC4DB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2038" w14:textId="1FE5614E" w:rsidR="000429BE" w:rsidRDefault="000429BE" w:rsidP="000429BE">
            <w:pPr>
              <w:rPr>
                <w:sz w:val="24"/>
                <w:szCs w:val="24"/>
              </w:rPr>
            </w:pPr>
            <w:r w:rsidRPr="008265F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1AEC8E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2A2F8DC" w14:textId="2FF1EF1C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C75B9C" w14:textId="6D122A76" w:rsidR="00662F28" w:rsidRDefault="000429BE" w:rsidP="00662F28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62F28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662F28">
              <w:rPr>
                <w:b/>
                <w:color w:val="000000"/>
                <w:sz w:val="24"/>
                <w:szCs w:val="24"/>
              </w:rPr>
              <w:t>:</w:t>
            </w:r>
            <w:r w:rsidRPr="00662F28">
              <w:rPr>
                <w:color w:val="000000"/>
                <w:sz w:val="24"/>
                <w:szCs w:val="24"/>
              </w:rPr>
              <w:t xml:space="preserve"> </w:t>
            </w:r>
          </w:p>
          <w:p w14:paraId="6BD39A09" w14:textId="54539D53" w:rsidR="00662F28" w:rsidRPr="00662F28" w:rsidRDefault="00662F28" w:rsidP="00AA024B">
            <w:pPr>
              <w:pStyle w:val="ListParagraph"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Lingkungan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politik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global, </w:t>
            </w:r>
          </w:p>
          <w:p w14:paraId="2FC92D94" w14:textId="77777777" w:rsidR="00662F28" w:rsidRPr="007E5A4E" w:rsidRDefault="00662F28" w:rsidP="00AA024B">
            <w:pPr>
              <w:pStyle w:val="ListParagraph"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World Economy International Agreements</w:t>
            </w:r>
          </w:p>
          <w:p w14:paraId="592A1055" w14:textId="77777777" w:rsidR="00662F28" w:rsidRPr="00662F28" w:rsidRDefault="00662F28" w:rsidP="00AA024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62F28">
              <w:rPr>
                <w:rFonts w:ascii="Cambria Math" w:hAnsi="Cambria Math"/>
                <w:sz w:val="24"/>
                <w:szCs w:val="24"/>
              </w:rPr>
              <w:t>International Law and Local Legal Environment</w:t>
            </w:r>
          </w:p>
          <w:p w14:paraId="3D574FF9" w14:textId="77777777" w:rsidR="00662F28" w:rsidRDefault="00662F28" w:rsidP="00662F28">
            <w:pPr>
              <w:pStyle w:val="ListParagraph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3131D4C8" w14:textId="5B2BE0AE" w:rsidR="000429BE" w:rsidRPr="00662F28" w:rsidRDefault="000429BE" w:rsidP="00662F2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62F28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662F28">
              <w:rPr>
                <w:b/>
                <w:color w:val="000000"/>
                <w:sz w:val="24"/>
                <w:szCs w:val="24"/>
              </w:rPr>
              <w:t>:</w:t>
            </w:r>
            <w:r w:rsidRPr="00662F28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662F28" w:rsidRPr="00662F2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662F28" w:rsidRPr="00662F28">
              <w:rPr>
                <w:rFonts w:ascii="Cambria Math" w:hAnsi="Cambria Math"/>
                <w:sz w:val="24"/>
                <w:szCs w:val="24"/>
              </w:rPr>
              <w:t xml:space="preserve"> 1, 2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23430E38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373B40C7" w:rsidR="000429BE" w:rsidRDefault="00662F28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caracara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segmentasi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targeting, dan positioning di pasar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/global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4444EAF5" w:rsidR="000429BE" w:rsidRDefault="00662F28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Segmentasi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, targeting, dan positioning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E19D35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F4100EA" w14:textId="6E58E9AB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CDA4A" w14:textId="58AEAC59" w:rsidR="000429BE" w:rsidRDefault="000429BE" w:rsidP="000429BE">
            <w:pPr>
              <w:rPr>
                <w:sz w:val="24"/>
                <w:szCs w:val="24"/>
              </w:rPr>
            </w:pPr>
            <w:r w:rsidRPr="008265F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745E87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CDF1516" w14:textId="505B109F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05D5AB2A" w:rsidR="000429BE" w:rsidRDefault="000429BE" w:rsidP="000429B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 w:rsidR="00662F28"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="00662F28"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662F28" w:rsidRPr="007E5A4E">
              <w:rPr>
                <w:rFonts w:ascii="Cambria Math" w:hAnsi="Cambria Math"/>
                <w:sz w:val="24"/>
                <w:szCs w:val="24"/>
              </w:rPr>
              <w:t>Segmentasi</w:t>
            </w:r>
            <w:proofErr w:type="spellEnd"/>
            <w:r w:rsidR="00662F28" w:rsidRPr="007E5A4E">
              <w:rPr>
                <w:rFonts w:ascii="Cambria Math" w:hAnsi="Cambria Math"/>
                <w:sz w:val="24"/>
                <w:szCs w:val="24"/>
              </w:rPr>
              <w:t>, targeting, dan positioning di pasar global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662F28" w:rsidRPr="007E5A4E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662F28" w:rsidRPr="007E5A4E">
              <w:rPr>
                <w:rFonts w:ascii="Cambria Math" w:hAnsi="Cambria Math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28EE47B1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3AD5BCED" w:rsidR="000429BE" w:rsidRDefault="00662F28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,</w:t>
            </w:r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membangun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pasar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2183121E" w:rsidR="000429BE" w:rsidRDefault="00662F28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bersaing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47EC61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AEE8DB9" w14:textId="73E519CF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  <w:r>
              <w:rPr>
                <w:sz w:val="24"/>
                <w:szCs w:val="24"/>
              </w:rPr>
              <w:t xml:space="preserve"> jurnal </w:t>
            </w:r>
            <w:proofErr w:type="spellStart"/>
            <w:r>
              <w:rPr>
                <w:sz w:val="24"/>
                <w:szCs w:val="24"/>
              </w:rPr>
              <w:t>ilmiah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FD617" w14:textId="430B4C4F" w:rsidR="000429BE" w:rsidRDefault="000429BE" w:rsidP="000429BE">
            <w:pPr>
              <w:rPr>
                <w:sz w:val="24"/>
                <w:szCs w:val="24"/>
              </w:rPr>
            </w:pPr>
            <w:r w:rsidRPr="008265F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B57FD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684E8B4" w14:textId="0A1B3FA8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7193C7" w14:textId="77777777" w:rsidR="00662F28" w:rsidRDefault="000429BE" w:rsidP="00662F28">
            <w:pPr>
              <w:autoSpaceDE/>
              <w:autoSpaceDN/>
              <w:spacing w:after="200" w:line="276" w:lineRule="auto"/>
              <w:ind w:left="87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62F28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662F28">
              <w:rPr>
                <w:b/>
                <w:color w:val="000000"/>
                <w:sz w:val="24"/>
                <w:szCs w:val="24"/>
              </w:rPr>
              <w:t>:</w:t>
            </w:r>
            <w:r w:rsidRPr="00662F28">
              <w:rPr>
                <w:color w:val="000000"/>
                <w:sz w:val="24"/>
                <w:szCs w:val="24"/>
              </w:rPr>
              <w:t xml:space="preserve"> </w:t>
            </w:r>
          </w:p>
          <w:p w14:paraId="62AF29FF" w14:textId="336E6AFC" w:rsidR="00662F28" w:rsidRPr="00662F28" w:rsidRDefault="00662F28" w:rsidP="00AA024B">
            <w:pPr>
              <w:pStyle w:val="ListParagraph"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pesaing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  <w:p w14:paraId="55D2C1A3" w14:textId="77777777" w:rsidR="00662F28" w:rsidRPr="00662F28" w:rsidRDefault="00662F28" w:rsidP="00AA024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Keunggulan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62F28">
              <w:rPr>
                <w:rFonts w:ascii="Cambria Math" w:hAnsi="Cambria Math"/>
                <w:sz w:val="24"/>
                <w:szCs w:val="24"/>
              </w:rPr>
              <w:t>bersaing</w:t>
            </w:r>
            <w:proofErr w:type="spellEnd"/>
            <w:r w:rsidRPr="00662F28">
              <w:rPr>
                <w:rFonts w:ascii="Cambria Math" w:hAnsi="Cambria Math"/>
                <w:sz w:val="24"/>
                <w:szCs w:val="24"/>
              </w:rPr>
              <w:t xml:space="preserve"> di pasar global</w:t>
            </w:r>
          </w:p>
          <w:p w14:paraId="23E00BA6" w14:textId="115B7896" w:rsidR="000429BE" w:rsidRPr="00662F28" w:rsidRDefault="000429BE" w:rsidP="00662F28">
            <w:pPr>
              <w:ind w:left="87"/>
              <w:jc w:val="both"/>
              <w:rPr>
                <w:sz w:val="24"/>
                <w:szCs w:val="24"/>
              </w:rPr>
            </w:pPr>
            <w:proofErr w:type="spellStart"/>
            <w:r w:rsidRPr="00662F28">
              <w:rPr>
                <w:b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  <w:r w:rsidRPr="00662F28">
              <w:rPr>
                <w:b/>
                <w:color w:val="000000"/>
                <w:sz w:val="24"/>
                <w:szCs w:val="24"/>
              </w:rPr>
              <w:t>:</w:t>
            </w:r>
            <w:r w:rsidRPr="00662F28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662F28" w:rsidRPr="00662F2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662F28" w:rsidRPr="00662F28">
              <w:rPr>
                <w:rFonts w:ascii="Cambria Math" w:hAnsi="Cambria Math"/>
                <w:sz w:val="24"/>
                <w:szCs w:val="24"/>
              </w:rPr>
              <w:t xml:space="preserve"> 1, 2, 3, 4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12320EDF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0429BE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371C0B1E" w:rsidR="000429BE" w:rsidRDefault="000429BE" w:rsidP="000429B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2E2FDEAC" w:rsidR="000429BE" w:rsidRDefault="000429BE" w:rsidP="000429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7D7E4951" w:rsidR="000429BE" w:rsidRDefault="000429BE" w:rsidP="000429BE">
            <w:pPr>
              <w:jc w:val="center"/>
              <w:rPr>
                <w:sz w:val="24"/>
                <w:szCs w:val="24"/>
              </w:rPr>
            </w:pPr>
          </w:p>
        </w:tc>
      </w:tr>
      <w:tr w:rsidR="000429BE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044877E0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masuk ke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suatu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pasar host country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keuntungan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kerugian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masing-masing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dipilih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528CB6AF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masuk ke pasar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beserta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keuntungan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kerugian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masing-masi</w:t>
            </w:r>
            <w:r>
              <w:rPr>
                <w:rFonts w:ascii="Cambria Math" w:hAnsi="Cambria Math"/>
                <w:sz w:val="24"/>
                <w:szCs w:val="24"/>
              </w:rPr>
              <w:t>n</w:t>
            </w:r>
            <w:r w:rsidRPr="007E5A4E">
              <w:rPr>
                <w:rFonts w:ascii="Cambria Math" w:hAnsi="Cambria Math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22D0EC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48552614" w14:textId="42B5B823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9A12" w14:textId="437399C2" w:rsidR="000429BE" w:rsidRDefault="000429BE" w:rsidP="000429BE">
            <w:pPr>
              <w:rPr>
                <w:sz w:val="24"/>
                <w:szCs w:val="24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013696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9FD5EFC" w14:textId="1897C8E6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E3DD29" w14:textId="77777777" w:rsidR="001D514D" w:rsidRDefault="000429BE" w:rsidP="001D514D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color w:val="000000"/>
                <w:sz w:val="24"/>
                <w:szCs w:val="24"/>
              </w:rPr>
              <w:t xml:space="preserve"> </w:t>
            </w:r>
          </w:p>
          <w:p w14:paraId="36D1241D" w14:textId="7AD3B163" w:rsidR="001D514D" w:rsidRPr="001D514D" w:rsidRDefault="001D514D" w:rsidP="00AA024B">
            <w:pPr>
              <w:pStyle w:val="ListParagraph"/>
              <w:numPr>
                <w:ilvl w:val="0"/>
                <w:numId w:val="1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514D">
              <w:rPr>
                <w:rFonts w:ascii="Cambria Math" w:hAnsi="Cambria Math"/>
                <w:sz w:val="24"/>
                <w:szCs w:val="24"/>
              </w:rPr>
              <w:t>Exporting,Licensi</w:t>
            </w:r>
            <w:proofErr w:type="spellEnd"/>
            <w:proofErr w:type="gramEnd"/>
            <w:r w:rsidRPr="001D514D">
              <w:rPr>
                <w:rFonts w:ascii="Cambria Math" w:hAnsi="Cambria Math"/>
                <w:sz w:val="24"/>
                <w:szCs w:val="24"/>
              </w:rPr>
              <w:t xml:space="preserve"> ng, franchising, joint venture, contract, manufacturing, Strategic Alliances</w:t>
            </w:r>
          </w:p>
          <w:p w14:paraId="50EBAB3C" w14:textId="77777777" w:rsidR="001D514D" w:rsidRPr="001D514D" w:rsidRDefault="001D514D" w:rsidP="00AA024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D514D">
              <w:rPr>
                <w:rFonts w:ascii="Cambria Math" w:hAnsi="Cambria Math"/>
                <w:sz w:val="24"/>
                <w:szCs w:val="24"/>
              </w:rPr>
              <w:t>Foreign Direct Investment (FDI)</w:t>
            </w:r>
          </w:p>
          <w:p w14:paraId="62C494C2" w14:textId="77777777" w:rsidR="001D514D" w:rsidRDefault="001D514D" w:rsidP="001D514D">
            <w:pPr>
              <w:pStyle w:val="ListParagraph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1831B71A" w14:textId="47ECCEC1" w:rsidR="000429BE" w:rsidRPr="001D514D" w:rsidRDefault="000429BE" w:rsidP="001D514D">
            <w:pPr>
              <w:rPr>
                <w:sz w:val="24"/>
                <w:szCs w:val="24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1D514D"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1D514D" w:rsidRPr="001D514D">
              <w:rPr>
                <w:rFonts w:ascii="Cambria Math" w:hAnsi="Cambria Math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433892D3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1F0D1712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bagaimana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/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mereka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4F32728A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bagaimana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pasar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990D0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04937396" w14:textId="62656FB3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2710F23B" w:rsidR="000429BE" w:rsidRDefault="000429BE" w:rsidP="000429BE">
            <w:pPr>
              <w:rPr>
                <w:sz w:val="24"/>
                <w:szCs w:val="24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5AD514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119F6D7" w14:textId="1EAD1F22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DCB060" w14:textId="35E4050C" w:rsidR="001D514D" w:rsidRDefault="000429BE" w:rsidP="000429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9672F1D" w14:textId="77777777" w:rsidR="001D514D" w:rsidRPr="007E5A4E" w:rsidRDefault="001D514D" w:rsidP="00AA024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product strategies</w:t>
            </w:r>
          </w:p>
          <w:p w14:paraId="26873604" w14:textId="77777777" w:rsidR="001D514D" w:rsidRPr="007E5A4E" w:rsidRDefault="001D514D" w:rsidP="00AA024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Standardization versus Customization,</w:t>
            </w:r>
          </w:p>
          <w:p w14:paraId="06FA8752" w14:textId="77777777" w:rsidR="001D514D" w:rsidRDefault="001D514D" w:rsidP="00AA024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Multination diffusion,</w:t>
            </w:r>
          </w:p>
          <w:p w14:paraId="605DB725" w14:textId="77777777" w:rsidR="001D514D" w:rsidRPr="001D514D" w:rsidRDefault="001D514D" w:rsidP="00AA024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D514D">
              <w:rPr>
                <w:rFonts w:ascii="Cambria Math" w:hAnsi="Cambria Math"/>
                <w:sz w:val="24"/>
                <w:szCs w:val="24"/>
              </w:rPr>
              <w:lastRenderedPageBreak/>
              <w:t>Developing New products for global market</w:t>
            </w:r>
          </w:p>
          <w:p w14:paraId="0C1F860D" w14:textId="0B629794" w:rsidR="000429BE" w:rsidRPr="001D514D" w:rsidRDefault="000429BE" w:rsidP="001D514D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1D514D"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1D514D" w:rsidRPr="001D514D">
              <w:rPr>
                <w:rFonts w:ascii="Cambria Math" w:hAnsi="Cambria Math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6CED3B15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0429BE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BEDD710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mengevaluasi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bagaimana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memasarkan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jasa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355FD143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,</w:t>
            </w:r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mengevaluasi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produk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jasa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pasar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DB951C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4C498A55" w14:textId="06F42991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6203B9FA" w:rsidR="000429BE" w:rsidRDefault="000429BE" w:rsidP="000429BE">
            <w:pPr>
              <w:rPr>
                <w:sz w:val="24"/>
                <w:szCs w:val="24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901E09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4D8EDB7" w14:textId="1DDD3270" w:rsidR="000429BE" w:rsidRDefault="000429BE" w:rsidP="000429BE">
            <w:pPr>
              <w:rPr>
                <w:rFonts w:ascii="Arial" w:eastAsia="Arial" w:hAnsi="Arial" w:cs="Arial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E0200A" w14:textId="78E3B822" w:rsidR="000429BE" w:rsidRDefault="000429BE" w:rsidP="000429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E39ED55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branding strategies</w:t>
            </w:r>
          </w:p>
          <w:p w14:paraId="6F52BD94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Management of Multinational product line</w:t>
            </w:r>
          </w:p>
          <w:p w14:paraId="543FBF97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Country of Origin</w:t>
            </w:r>
          </w:p>
          <w:p w14:paraId="706FBE9E" w14:textId="77777777" w:rsidR="001D514D" w:rsidRPr="001D514D" w:rsidRDefault="001D514D" w:rsidP="00AA024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D514D">
              <w:rPr>
                <w:rFonts w:ascii="Cambria Math" w:hAnsi="Cambria Math"/>
                <w:sz w:val="24"/>
                <w:szCs w:val="24"/>
              </w:rPr>
              <w:t>Global marketing and service</w:t>
            </w:r>
          </w:p>
          <w:p w14:paraId="721879D2" w14:textId="77777777" w:rsidR="001D514D" w:rsidRDefault="001D514D" w:rsidP="001D514D">
            <w:pPr>
              <w:rPr>
                <w:sz w:val="24"/>
                <w:szCs w:val="24"/>
              </w:rPr>
            </w:pPr>
          </w:p>
          <w:p w14:paraId="712469E2" w14:textId="79588550" w:rsidR="001D514D" w:rsidRPr="001D514D" w:rsidRDefault="001D514D" w:rsidP="001D514D">
            <w:pPr>
              <w:rPr>
                <w:sz w:val="24"/>
                <w:szCs w:val="24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1, </w:t>
            </w:r>
            <w:r>
              <w:rPr>
                <w:rFonts w:ascii="Cambria Math" w:hAnsi="Cambria Math"/>
                <w:sz w:val="24"/>
                <w:szCs w:val="24"/>
              </w:rPr>
              <w:t>3,</w:t>
            </w:r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53FDB485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42DFEC4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penentuan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harga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untuk pasar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22EC9BBC" w:rsidR="000429BE" w:rsidRDefault="001D514D" w:rsidP="000429BE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harga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untuk pasar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5D1442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1087855" w14:textId="61DF0B54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4402A175" w:rsidR="000429BE" w:rsidRDefault="000429BE" w:rsidP="000429BE">
            <w:pPr>
              <w:rPr>
                <w:rFonts w:ascii="Arial" w:eastAsia="Arial" w:hAnsi="Arial" w:cs="Arial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4AD35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7E7BB2A" w14:textId="64D59EC5" w:rsidR="000429BE" w:rsidRDefault="000429BE" w:rsidP="000429BE">
            <w:pPr>
              <w:rPr>
                <w:rFonts w:ascii="Arial" w:eastAsia="Arial" w:hAnsi="Arial" w:cs="Arial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52C45" w14:textId="77777777" w:rsidR="001D514D" w:rsidRDefault="001D514D" w:rsidP="001D51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E656BC7" w14:textId="13EE9D0B" w:rsidR="001D514D" w:rsidRDefault="001D514D" w:rsidP="001D514D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harga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pasar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40B62FF" w14:textId="77777777" w:rsidR="001D514D" w:rsidRDefault="001D514D" w:rsidP="001D514D">
            <w:pPr>
              <w:rPr>
                <w:sz w:val="24"/>
                <w:szCs w:val="24"/>
              </w:rPr>
            </w:pPr>
          </w:p>
          <w:p w14:paraId="000401E5" w14:textId="51024659" w:rsidR="000429BE" w:rsidRDefault="001D514D" w:rsidP="001D514D">
            <w:pPr>
              <w:rPr>
                <w:rFonts w:ascii="Arial" w:eastAsia="Arial" w:hAnsi="Arial" w:cs="Arial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1,</w:t>
            </w:r>
            <w:r>
              <w:rPr>
                <w:rFonts w:ascii="Cambria Math" w:hAnsi="Cambria Math"/>
                <w:sz w:val="24"/>
                <w:szCs w:val="24"/>
              </w:rPr>
              <w:t>2,3,4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447366EA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17990A" w14:textId="77777777" w:rsidR="001D514D" w:rsidRPr="007E5A4E" w:rsidRDefault="001D514D" w:rsidP="00AA024B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menentukan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pengelolaan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komunikasi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  <w:p w14:paraId="66C4AF94" w14:textId="1556CE1B" w:rsidR="000429BE" w:rsidRPr="001D514D" w:rsidRDefault="001D514D" w:rsidP="00AA024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49D30B" w14:textId="77777777" w:rsidR="00AA024B" w:rsidRPr="007E5A4E" w:rsidRDefault="00AA024B" w:rsidP="00AA024B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menentukan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bentuk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komunikasi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digunakan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</w:p>
          <w:p w14:paraId="2290BAB7" w14:textId="73324C4C" w:rsidR="000429BE" w:rsidRDefault="00AA024B" w:rsidP="00AA024B">
            <w:pPr>
              <w:rPr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pengorganisasian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globaligunakan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1CF15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2557B687" w14:textId="6712566E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22DCA" w14:textId="33F8E616" w:rsidR="000429BE" w:rsidRDefault="000429BE" w:rsidP="000429BE">
            <w:pPr>
              <w:rPr>
                <w:rFonts w:ascii="Arial" w:eastAsia="Arial" w:hAnsi="Arial" w:cs="Arial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38E792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BA36291" w14:textId="0C18BD7C" w:rsidR="000429BE" w:rsidRDefault="000429BE" w:rsidP="000429BE">
            <w:pPr>
              <w:rPr>
                <w:rFonts w:ascii="Arial" w:eastAsia="Arial" w:hAnsi="Arial" w:cs="Arial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A43D0D" w14:textId="3028B844" w:rsidR="001D514D" w:rsidRDefault="001D514D" w:rsidP="001D51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26E8CF8" w14:textId="77777777" w:rsidR="00AA024B" w:rsidRPr="007E5A4E" w:rsidRDefault="00AA024B" w:rsidP="00AA024B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Global strategic marketing Planning</w:t>
            </w:r>
          </w:p>
          <w:p w14:paraId="5622D1C5" w14:textId="77777777" w:rsidR="00AA024B" w:rsidRPr="007E5A4E" w:rsidRDefault="00AA024B" w:rsidP="00AA024B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Key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kriteria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in global organization design</w:t>
            </w:r>
          </w:p>
          <w:p w14:paraId="4D243C65" w14:textId="0ADEA532" w:rsidR="001D514D" w:rsidRPr="00AA024B" w:rsidRDefault="00AA024B" w:rsidP="00AA024B">
            <w:pPr>
              <w:pStyle w:val="ListParagraph"/>
              <w:numPr>
                <w:ilvl w:val="0"/>
                <w:numId w:val="20"/>
              </w:numPr>
              <w:rPr>
                <w:color w:val="000000"/>
                <w:sz w:val="24"/>
                <w:szCs w:val="24"/>
              </w:rPr>
            </w:pPr>
            <w:r w:rsidRPr="00AA024B">
              <w:rPr>
                <w:rFonts w:ascii="Cambria Math" w:hAnsi="Cambria Math"/>
                <w:sz w:val="24"/>
                <w:szCs w:val="24"/>
              </w:rPr>
              <w:t>Organization design option Organizing for global Brand Management</w:t>
            </w:r>
            <w:r w:rsidRPr="00AA024B">
              <w:rPr>
                <w:color w:val="000000"/>
                <w:sz w:val="24"/>
                <w:szCs w:val="24"/>
              </w:rPr>
              <w:t xml:space="preserve"> </w:t>
            </w:r>
          </w:p>
          <w:p w14:paraId="060939C2" w14:textId="0473CFB1" w:rsidR="000429BE" w:rsidRDefault="001D514D" w:rsidP="001D514D">
            <w:pPr>
              <w:rPr>
                <w:rFonts w:ascii="Arial" w:eastAsia="Arial" w:hAnsi="Arial" w:cs="Arial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1, </w:t>
            </w:r>
            <w:r>
              <w:rPr>
                <w:rFonts w:ascii="Cambria Math" w:hAnsi="Cambria Math"/>
                <w:sz w:val="24"/>
                <w:szCs w:val="24"/>
              </w:rPr>
              <w:t>2</w:t>
            </w:r>
            <w:r>
              <w:rPr>
                <w:rFonts w:ascii="Cambria Math" w:hAnsi="Cambria Math"/>
                <w:sz w:val="24"/>
                <w:szCs w:val="24"/>
              </w:rPr>
              <w:t>,</w:t>
            </w:r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39EEA7FC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0429BE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97CD6D" w14:textId="77777777" w:rsidR="00AA024B" w:rsidRPr="007E5A4E" w:rsidRDefault="00AA024B" w:rsidP="00AA024B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marketing in Emerging Markets</w:t>
            </w:r>
          </w:p>
          <w:p w14:paraId="144895D1" w14:textId="62B09B19" w:rsidR="000429BE" w:rsidRPr="00AA024B" w:rsidRDefault="00AA024B" w:rsidP="00AA024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A024B">
              <w:rPr>
                <w:rFonts w:ascii="Cambria Math" w:hAnsi="Cambria Math"/>
                <w:sz w:val="24"/>
                <w:szCs w:val="24"/>
              </w:rPr>
              <w:t>Global Marketing and Internet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997703" w14:textId="77777777" w:rsidR="00AA024B" w:rsidRPr="007E5A4E" w:rsidRDefault="00AA024B" w:rsidP="00AA024B">
            <w:pPr>
              <w:pStyle w:val="ListParagraph"/>
              <w:numPr>
                <w:ilvl w:val="0"/>
                <w:numId w:val="22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memutuskan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strategi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bauran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di Emerging Markets.</w:t>
            </w:r>
          </w:p>
          <w:p w14:paraId="3FA8292D" w14:textId="02775CA0" w:rsidR="000429BE" w:rsidRPr="00AA024B" w:rsidRDefault="00AA024B" w:rsidP="00AA024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situs ecommerce yang </w:t>
            </w: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dapat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akses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AA024B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AA024B">
              <w:rPr>
                <w:rFonts w:ascii="Cambria Math" w:hAnsi="Cambria Math"/>
                <w:sz w:val="24"/>
                <w:szCs w:val="24"/>
              </w:rPr>
              <w:t xml:space="preserve"> global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A92525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1406A4E" w14:textId="2A02C62C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3B0CB4" w14:textId="6E9FB900" w:rsidR="000429BE" w:rsidRDefault="000429BE" w:rsidP="000429BE">
            <w:pPr>
              <w:rPr>
                <w:rFonts w:ascii="Arial" w:eastAsia="Arial" w:hAnsi="Arial" w:cs="Arial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29F1D3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7630B1D" w14:textId="602EF2D5" w:rsidR="000429BE" w:rsidRDefault="000429BE" w:rsidP="000429BE">
            <w:pPr>
              <w:rPr>
                <w:rFonts w:ascii="Arial" w:eastAsia="Arial" w:hAnsi="Arial" w:cs="Arial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9941FB" w14:textId="77777777" w:rsidR="001D514D" w:rsidRDefault="001D514D" w:rsidP="001D51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79D3487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Pengertian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Emerging Market,</w:t>
            </w:r>
          </w:p>
          <w:p w14:paraId="34F4E2C7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Persaingan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pemimpin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pasar</w:t>
            </w:r>
          </w:p>
          <w:p w14:paraId="31ACCDED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Entry strategies for emerging market,</w:t>
            </w:r>
          </w:p>
          <w:p w14:paraId="4D64CA93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product </w:t>
            </w:r>
            <w:proofErr w:type="spellStart"/>
            <w:proofErr w:type="gramStart"/>
            <w:r w:rsidRPr="007E5A4E">
              <w:rPr>
                <w:rFonts w:ascii="Cambria Math" w:hAnsi="Cambria Math"/>
                <w:sz w:val="24"/>
                <w:szCs w:val="24"/>
              </w:rPr>
              <w:t>policy,pricing</w:t>
            </w:r>
            <w:proofErr w:type="spellEnd"/>
            <w:proofErr w:type="gram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strategies for emerging market</w:t>
            </w:r>
          </w:p>
          <w:p w14:paraId="2EBC3C33" w14:textId="77777777" w:rsidR="00AA024B" w:rsidRPr="007E5A4E" w:rsidRDefault="00AA024B" w:rsidP="00AA024B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</w:p>
          <w:p w14:paraId="065E3F5B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Barriers to Global Internet Marketing </w:t>
            </w:r>
          </w:p>
          <w:p w14:paraId="68B13CD4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Competitive Advantage and Cyberspace Global Internet Consumers Globally Integrated versus Locally Responsive Internet Marketing Strategies </w:t>
            </w:r>
          </w:p>
          <w:p w14:paraId="727788C0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The Internet and Global Product Policy</w:t>
            </w:r>
          </w:p>
          <w:p w14:paraId="6EC611A0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 xml:space="preserve">Global Branding and the Internet </w:t>
            </w:r>
          </w:p>
          <w:p w14:paraId="3F9F2C46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Web-based Global New Product Development</w:t>
            </w:r>
          </w:p>
          <w:p w14:paraId="58724ABA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lastRenderedPageBreak/>
              <w:t>Web-based Marketing of Services</w:t>
            </w:r>
          </w:p>
          <w:p w14:paraId="33A99E7C" w14:textId="77777777" w:rsidR="00AA024B" w:rsidRPr="007E5A4E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Global Pricing and the Web</w:t>
            </w:r>
          </w:p>
          <w:p w14:paraId="66B95F2D" w14:textId="77777777" w:rsidR="00AA024B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Global Distribution Strategies and the Internet</w:t>
            </w:r>
          </w:p>
          <w:p w14:paraId="3039780B" w14:textId="77777777" w:rsidR="00AA024B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AA024B">
              <w:rPr>
                <w:rFonts w:ascii="Cambria Math" w:hAnsi="Cambria Math"/>
                <w:sz w:val="24"/>
                <w:szCs w:val="24"/>
              </w:rPr>
              <w:t>Role of Existing Channels</w:t>
            </w:r>
          </w:p>
          <w:p w14:paraId="719A93B6" w14:textId="5352F2CD" w:rsidR="001D514D" w:rsidRPr="00AA024B" w:rsidRDefault="00AA024B" w:rsidP="00AA024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AA024B">
              <w:rPr>
                <w:rFonts w:ascii="Cambria Math" w:hAnsi="Cambria Math"/>
                <w:sz w:val="24"/>
                <w:szCs w:val="24"/>
              </w:rPr>
              <w:t>E-Tailing Landscape</w:t>
            </w:r>
          </w:p>
          <w:p w14:paraId="5DAE3A70" w14:textId="5221A680" w:rsidR="000429BE" w:rsidRDefault="001D514D" w:rsidP="001D514D">
            <w:pPr>
              <w:rPr>
                <w:rFonts w:ascii="Arial" w:eastAsia="Arial" w:hAnsi="Arial" w:cs="Arial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1, </w:t>
            </w:r>
            <w:r>
              <w:rPr>
                <w:rFonts w:ascii="Cambria Math" w:hAnsi="Cambria Math"/>
                <w:sz w:val="24"/>
                <w:szCs w:val="24"/>
              </w:rPr>
              <w:t>3,</w:t>
            </w:r>
            <w:r w:rsidRPr="001D514D">
              <w:rPr>
                <w:rFonts w:ascii="Cambria Math" w:hAnsi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437F00A4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0429BE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7777777" w:rsidR="000429BE" w:rsidRDefault="000429BE" w:rsidP="00042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Harmonis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melalaui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77777777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1.Menjelaskan </w:t>
            </w:r>
            <w:proofErr w:type="spellStart"/>
            <w:r>
              <w:rPr>
                <w:sz w:val="24"/>
                <w:szCs w:val="24"/>
              </w:rPr>
              <w:t>peran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2.Menelusuri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3.Menjadikan masjid kampus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4.Membuat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masjid kampus di Surabaya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D704EA" w14:textId="77777777" w:rsidR="000429BE" w:rsidRPr="007E5A4E" w:rsidRDefault="000429BE" w:rsidP="000429B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E854A16" w14:textId="17E44F6A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00891B22" w:rsidR="000429BE" w:rsidRDefault="000429BE" w:rsidP="000429BE">
            <w:pPr>
              <w:rPr>
                <w:rFonts w:ascii="Arial" w:eastAsia="Arial" w:hAnsi="Arial" w:cs="Arial"/>
              </w:rPr>
            </w:pPr>
            <w:r w:rsidRPr="00A812C7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52E407" w14:textId="77777777" w:rsidR="000429BE" w:rsidRDefault="000429BE" w:rsidP="000429BE">
            <w:pPr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9360F09" w14:textId="2D02C493" w:rsidR="000429BE" w:rsidRDefault="000429BE" w:rsidP="000429BE">
            <w:pPr>
              <w:rPr>
                <w:sz w:val="24"/>
                <w:szCs w:val="24"/>
              </w:rPr>
            </w:pPr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E5A4E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FD603A" w14:textId="77777777" w:rsidR="001D514D" w:rsidRDefault="001D514D" w:rsidP="001D51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6618834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E5A4E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7E5A4E">
              <w:rPr>
                <w:rFonts w:ascii="Cambria Math" w:hAnsi="Cambria Math"/>
                <w:sz w:val="24"/>
                <w:szCs w:val="24"/>
              </w:rPr>
              <w:t xml:space="preserve"> Global branding strategies</w:t>
            </w:r>
          </w:p>
          <w:p w14:paraId="46B32BE6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Management of Multinational product line</w:t>
            </w:r>
          </w:p>
          <w:p w14:paraId="62A7FDCE" w14:textId="77777777" w:rsidR="001D514D" w:rsidRPr="007E5A4E" w:rsidRDefault="001D514D" w:rsidP="00AA024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7E5A4E">
              <w:rPr>
                <w:rFonts w:ascii="Cambria Math" w:hAnsi="Cambria Math"/>
                <w:sz w:val="24"/>
                <w:szCs w:val="24"/>
              </w:rPr>
              <w:t>Country of Origin</w:t>
            </w:r>
          </w:p>
          <w:p w14:paraId="61C0AD36" w14:textId="77777777" w:rsidR="001D514D" w:rsidRPr="001D514D" w:rsidRDefault="001D514D" w:rsidP="00AA024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D514D">
              <w:rPr>
                <w:rFonts w:ascii="Cambria Math" w:hAnsi="Cambria Math"/>
                <w:sz w:val="24"/>
                <w:szCs w:val="24"/>
              </w:rPr>
              <w:t>Global marketing and service</w:t>
            </w:r>
          </w:p>
          <w:p w14:paraId="37C1E79B" w14:textId="77777777" w:rsidR="001D514D" w:rsidRDefault="001D514D" w:rsidP="001D514D">
            <w:pPr>
              <w:rPr>
                <w:sz w:val="24"/>
                <w:szCs w:val="24"/>
              </w:rPr>
            </w:pPr>
          </w:p>
          <w:p w14:paraId="19EB9E05" w14:textId="4D868F5A" w:rsidR="000429BE" w:rsidRDefault="001D514D" w:rsidP="001D514D">
            <w:pPr>
              <w:rPr>
                <w:rFonts w:ascii="Arial" w:eastAsia="Arial" w:hAnsi="Arial" w:cs="Arial"/>
              </w:rPr>
            </w:pPr>
            <w:proofErr w:type="spellStart"/>
            <w:r w:rsidRPr="001D514D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1D514D">
              <w:rPr>
                <w:b/>
                <w:color w:val="000000"/>
                <w:sz w:val="24"/>
                <w:szCs w:val="24"/>
              </w:rPr>
              <w:t>:</w:t>
            </w:r>
            <w:r w:rsidRPr="001D514D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D514D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D514D">
              <w:rPr>
                <w:rFonts w:ascii="Cambria Math" w:hAnsi="Cambria Math"/>
                <w:sz w:val="24"/>
                <w:szCs w:val="24"/>
              </w:rPr>
              <w:t xml:space="preserve"> 1,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46895FD4" w:rsidR="000429BE" w:rsidRDefault="000429BE" w:rsidP="00042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429BE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0429BE" w:rsidRDefault="000429BE" w:rsidP="000429B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0429BE" w:rsidRDefault="000429BE" w:rsidP="00042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0429BE" w:rsidRDefault="000429BE" w:rsidP="00042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0429BE" w:rsidRDefault="000429BE" w:rsidP="000429BE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CF22DE3" w:rsidR="000429BE" w:rsidRDefault="000429BE" w:rsidP="000429B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10FDBF7" w14:textId="77777777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48BBE916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proofErr w:type="gramStart"/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proofErr w:type="gram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</w:t>
      </w:r>
      <w:r w:rsidR="00A25C3A">
        <w:rPr>
          <w:b/>
          <w:color w:val="000000"/>
          <w:sz w:val="24"/>
          <w:szCs w:val="24"/>
        </w:rPr>
        <w:t xml:space="preserve">         </w:t>
      </w:r>
      <w:r w:rsidR="00A25C3A" w:rsidRPr="00A25C3A">
        <w:rPr>
          <w:b/>
          <w:bCs/>
          <w:sz w:val="24"/>
          <w:szCs w:val="24"/>
        </w:rPr>
        <w:t>Amir Iskandar, S.E., M.M</w:t>
      </w:r>
      <w:r w:rsidR="00DA069A">
        <w:rPr>
          <w:b/>
          <w:color w:val="000000"/>
          <w:sz w:val="24"/>
          <w:szCs w:val="24"/>
        </w:rPr>
        <w:tab/>
      </w:r>
    </w:p>
    <w:p w14:paraId="7DAF5B48" w14:textId="3F197EF3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</w:t>
      </w:r>
      <w:r w:rsidR="000429BE">
        <w:rPr>
          <w:b/>
          <w:color w:val="000000"/>
          <w:sz w:val="24"/>
          <w:szCs w:val="24"/>
          <w:highlight w:val="white"/>
        </w:rPr>
        <w:t>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</w:t>
      </w:r>
      <w:r w:rsidR="00A25C3A">
        <w:rPr>
          <w:b/>
          <w:color w:val="000000"/>
          <w:sz w:val="24"/>
          <w:szCs w:val="24"/>
        </w:rPr>
        <w:t>23128603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2351"/>
    <w:multiLevelType w:val="hybridMultilevel"/>
    <w:tmpl w:val="0CDEF5B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8707C"/>
    <w:multiLevelType w:val="hybridMultilevel"/>
    <w:tmpl w:val="174AC47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52240"/>
    <w:multiLevelType w:val="hybridMultilevel"/>
    <w:tmpl w:val="4B10F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2A2FB4"/>
    <w:multiLevelType w:val="hybridMultilevel"/>
    <w:tmpl w:val="8C701D9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31170"/>
    <w:multiLevelType w:val="hybridMultilevel"/>
    <w:tmpl w:val="62AAB05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7386"/>
    <w:multiLevelType w:val="hybridMultilevel"/>
    <w:tmpl w:val="5016B00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A2078"/>
    <w:multiLevelType w:val="hybridMultilevel"/>
    <w:tmpl w:val="C6FC3B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83C15"/>
    <w:multiLevelType w:val="hybridMultilevel"/>
    <w:tmpl w:val="83E8045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6EF57E7"/>
    <w:multiLevelType w:val="hybridMultilevel"/>
    <w:tmpl w:val="E81408E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F1E03"/>
    <w:multiLevelType w:val="hybridMultilevel"/>
    <w:tmpl w:val="3EC69EC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E4A2D"/>
    <w:multiLevelType w:val="hybridMultilevel"/>
    <w:tmpl w:val="AC142010"/>
    <w:lvl w:ilvl="0" w:tplc="3809000F">
      <w:start w:val="1"/>
      <w:numFmt w:val="decimal"/>
      <w:lvlText w:val="%1."/>
      <w:lvlJc w:val="left"/>
      <w:pPr>
        <w:ind w:left="447" w:hanging="360"/>
      </w:pPr>
    </w:lvl>
    <w:lvl w:ilvl="1" w:tplc="38090019" w:tentative="1">
      <w:start w:val="1"/>
      <w:numFmt w:val="lowerLetter"/>
      <w:lvlText w:val="%2."/>
      <w:lvlJc w:val="left"/>
      <w:pPr>
        <w:ind w:left="1167" w:hanging="360"/>
      </w:pPr>
    </w:lvl>
    <w:lvl w:ilvl="2" w:tplc="3809001B" w:tentative="1">
      <w:start w:val="1"/>
      <w:numFmt w:val="lowerRoman"/>
      <w:lvlText w:val="%3."/>
      <w:lvlJc w:val="right"/>
      <w:pPr>
        <w:ind w:left="1887" w:hanging="180"/>
      </w:pPr>
    </w:lvl>
    <w:lvl w:ilvl="3" w:tplc="3809000F" w:tentative="1">
      <w:start w:val="1"/>
      <w:numFmt w:val="decimal"/>
      <w:lvlText w:val="%4."/>
      <w:lvlJc w:val="left"/>
      <w:pPr>
        <w:ind w:left="2607" w:hanging="360"/>
      </w:pPr>
    </w:lvl>
    <w:lvl w:ilvl="4" w:tplc="38090019" w:tentative="1">
      <w:start w:val="1"/>
      <w:numFmt w:val="lowerLetter"/>
      <w:lvlText w:val="%5."/>
      <w:lvlJc w:val="left"/>
      <w:pPr>
        <w:ind w:left="3327" w:hanging="360"/>
      </w:pPr>
    </w:lvl>
    <w:lvl w:ilvl="5" w:tplc="3809001B" w:tentative="1">
      <w:start w:val="1"/>
      <w:numFmt w:val="lowerRoman"/>
      <w:lvlText w:val="%6."/>
      <w:lvlJc w:val="right"/>
      <w:pPr>
        <w:ind w:left="4047" w:hanging="180"/>
      </w:pPr>
    </w:lvl>
    <w:lvl w:ilvl="6" w:tplc="3809000F" w:tentative="1">
      <w:start w:val="1"/>
      <w:numFmt w:val="decimal"/>
      <w:lvlText w:val="%7."/>
      <w:lvlJc w:val="left"/>
      <w:pPr>
        <w:ind w:left="4767" w:hanging="360"/>
      </w:pPr>
    </w:lvl>
    <w:lvl w:ilvl="7" w:tplc="38090019" w:tentative="1">
      <w:start w:val="1"/>
      <w:numFmt w:val="lowerLetter"/>
      <w:lvlText w:val="%8."/>
      <w:lvlJc w:val="left"/>
      <w:pPr>
        <w:ind w:left="5487" w:hanging="360"/>
      </w:pPr>
    </w:lvl>
    <w:lvl w:ilvl="8" w:tplc="38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38281A9F"/>
    <w:multiLevelType w:val="hybridMultilevel"/>
    <w:tmpl w:val="0722194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773AE"/>
    <w:multiLevelType w:val="hybridMultilevel"/>
    <w:tmpl w:val="0968317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007E88"/>
    <w:multiLevelType w:val="hybridMultilevel"/>
    <w:tmpl w:val="096831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A48EF"/>
    <w:multiLevelType w:val="hybridMultilevel"/>
    <w:tmpl w:val="67883D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15BBD"/>
    <w:multiLevelType w:val="hybridMultilevel"/>
    <w:tmpl w:val="371448E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070EE0"/>
    <w:multiLevelType w:val="hybridMultilevel"/>
    <w:tmpl w:val="D9CAA55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13A73"/>
    <w:multiLevelType w:val="hybridMultilevel"/>
    <w:tmpl w:val="314801D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2B1A25"/>
    <w:multiLevelType w:val="hybridMultilevel"/>
    <w:tmpl w:val="5D586ED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2130A"/>
    <w:multiLevelType w:val="hybridMultilevel"/>
    <w:tmpl w:val="446C39C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11"/>
  </w:num>
  <w:num w:numId="10">
    <w:abstractNumId w:val="21"/>
  </w:num>
  <w:num w:numId="11">
    <w:abstractNumId w:val="5"/>
  </w:num>
  <w:num w:numId="12">
    <w:abstractNumId w:val="4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9"/>
  </w:num>
  <w:num w:numId="18">
    <w:abstractNumId w:val="22"/>
  </w:num>
  <w:num w:numId="19">
    <w:abstractNumId w:val="20"/>
  </w:num>
  <w:num w:numId="20">
    <w:abstractNumId w:val="7"/>
  </w:num>
  <w:num w:numId="21">
    <w:abstractNumId w:val="1"/>
  </w:num>
  <w:num w:numId="22">
    <w:abstractNumId w:val="14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429BE"/>
    <w:rsid w:val="000C6E73"/>
    <w:rsid w:val="000E0B5D"/>
    <w:rsid w:val="00145BDC"/>
    <w:rsid w:val="001D514D"/>
    <w:rsid w:val="002523D4"/>
    <w:rsid w:val="002546FC"/>
    <w:rsid w:val="00292F32"/>
    <w:rsid w:val="002C79CF"/>
    <w:rsid w:val="00336B4D"/>
    <w:rsid w:val="00373B7C"/>
    <w:rsid w:val="004B7B82"/>
    <w:rsid w:val="00582BBC"/>
    <w:rsid w:val="005D62EC"/>
    <w:rsid w:val="006078DE"/>
    <w:rsid w:val="00662F28"/>
    <w:rsid w:val="006735CE"/>
    <w:rsid w:val="008F6BDF"/>
    <w:rsid w:val="00900887"/>
    <w:rsid w:val="0095113E"/>
    <w:rsid w:val="00A05675"/>
    <w:rsid w:val="00A25C3A"/>
    <w:rsid w:val="00AA024B"/>
    <w:rsid w:val="00AF15F2"/>
    <w:rsid w:val="00AF648D"/>
    <w:rsid w:val="00AF7C6C"/>
    <w:rsid w:val="00B16AA8"/>
    <w:rsid w:val="00C3453A"/>
    <w:rsid w:val="00D16456"/>
    <w:rsid w:val="00D80169"/>
    <w:rsid w:val="00DA069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Britannic Bold" w:hAnsi="Britannic Bold"/>
      <w:sz w:val="32"/>
      <w:szCs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29BE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29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4</cp:revision>
  <cp:lastPrinted>2024-03-11T07:56:00Z</cp:lastPrinted>
  <dcterms:created xsi:type="dcterms:W3CDTF">2024-08-19T04:29:00Z</dcterms:created>
  <dcterms:modified xsi:type="dcterms:W3CDTF">2024-08-21T10:23:00Z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