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1CA4E343" w:rsidR="00AF648D" w:rsidRDefault="00F94A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MANAJEMEN </w:t>
            </w:r>
            <w:r w:rsidR="00F85522" w:rsidRPr="00F85522">
              <w:rPr>
                <w:b/>
                <w:sz w:val="24"/>
                <w:szCs w:val="24"/>
              </w:rPr>
              <w:t>SUMBER DAYA MANUSIA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110BDC44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F94A79">
              <w:rPr>
                <w:sz w:val="24"/>
                <w:szCs w:val="24"/>
              </w:rPr>
              <w:t>4</w:t>
            </w:r>
            <w:r w:rsidR="00F85522">
              <w:rPr>
                <w:sz w:val="24"/>
                <w:szCs w:val="24"/>
              </w:rPr>
              <w:t>31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47E5080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8077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6E3727C3" w:rsidR="00AF648D" w:rsidRDefault="00F94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8077AA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8077AA" w:rsidRDefault="008077AA" w:rsidP="00807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8077AA" w:rsidRDefault="008077AA" w:rsidP="008077A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6710BB9E" w:rsidR="008077AA" w:rsidRPr="00B87CAC" w:rsidRDefault="008077AA" w:rsidP="008077AA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8077AA" w:rsidRDefault="008077AA" w:rsidP="00807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3621FACE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Menunjukkan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sikap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bertanggungjawab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atas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pekerjaan</w:t>
            </w:r>
            <w:proofErr w:type="spellEnd"/>
            <w:r w:rsidRPr="00A67D0F">
              <w:rPr>
                <w:sz w:val="24"/>
                <w:szCs w:val="24"/>
              </w:rPr>
              <w:t xml:space="preserve"> di </w:t>
            </w:r>
            <w:proofErr w:type="spellStart"/>
            <w:r w:rsidRPr="00A67D0F">
              <w:rPr>
                <w:sz w:val="24"/>
                <w:szCs w:val="24"/>
              </w:rPr>
              <w:t>bidang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keahliannya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secara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mandiri</w:t>
            </w:r>
            <w:proofErr w:type="spellEnd"/>
            <w:r w:rsidRPr="00A67D0F">
              <w:rPr>
                <w:sz w:val="24"/>
                <w:szCs w:val="24"/>
              </w:rPr>
              <w:t xml:space="preserve"> (P9)</w:t>
            </w:r>
          </w:p>
        </w:tc>
      </w:tr>
      <w:tr w:rsidR="00AF648D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D498B6F" w:rsidR="00AF648D" w:rsidRPr="00A67D0F" w:rsidRDefault="00211AE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Mampu </w:t>
            </w:r>
            <w:proofErr w:type="spellStart"/>
            <w:r w:rsidRPr="00A67D0F">
              <w:rPr>
                <w:sz w:val="24"/>
                <w:szCs w:val="24"/>
              </w:rPr>
              <w:t>mengkaji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implikasi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implementasi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ilmu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pengetahuan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teknologi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memperhatikan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menerapkan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nilai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humaniora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sesuai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keahliannya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berdasarkan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kaidah</w:t>
            </w:r>
            <w:proofErr w:type="spellEnd"/>
            <w:r w:rsidRPr="00A67D0F">
              <w:rPr>
                <w:sz w:val="24"/>
                <w:szCs w:val="24"/>
              </w:rPr>
              <w:t xml:space="preserve">, tata </w:t>
            </w:r>
            <w:proofErr w:type="spellStart"/>
            <w:r w:rsidRPr="00A67D0F">
              <w:rPr>
                <w:sz w:val="24"/>
                <w:szCs w:val="24"/>
              </w:rPr>
              <w:t>cara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etika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ilmiah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rangka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menghasilkan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solusi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gagasan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desain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kritik</w:t>
            </w:r>
            <w:proofErr w:type="spellEnd"/>
            <w:r w:rsidRPr="00A67D0F">
              <w:rPr>
                <w:sz w:val="24"/>
                <w:szCs w:val="24"/>
              </w:rPr>
              <w:t xml:space="preserve"> (KU 7)</w:t>
            </w:r>
          </w:p>
        </w:tc>
      </w:tr>
      <w:tr w:rsidR="00AF648D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1EEE3EEE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Menguasai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konsep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prinsip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dasar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bisnis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di </w:t>
            </w:r>
            <w:proofErr w:type="spellStart"/>
            <w:r w:rsidRPr="00A67D0F">
              <w:rPr>
                <w:sz w:val="24"/>
                <w:szCs w:val="24"/>
              </w:rPr>
              <w:t>bidang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pertanian</w:t>
            </w:r>
            <w:proofErr w:type="spellEnd"/>
            <w:r w:rsidRPr="00A67D0F">
              <w:rPr>
                <w:sz w:val="24"/>
                <w:szCs w:val="24"/>
              </w:rPr>
              <w:t xml:space="preserve"> (PP3)</w:t>
            </w:r>
          </w:p>
        </w:tc>
      </w:tr>
      <w:tr w:rsidR="00AF648D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7D6D2AB9" w:rsidR="00AF648D" w:rsidRPr="00A67D0F" w:rsidRDefault="00211AE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Mampu </w:t>
            </w:r>
            <w:proofErr w:type="spellStart"/>
            <w:r w:rsidRPr="00A67D0F">
              <w:rPr>
                <w:sz w:val="24"/>
                <w:szCs w:val="24"/>
              </w:rPr>
              <w:t>merumuskan</w:t>
            </w:r>
            <w:proofErr w:type="spellEnd"/>
            <w:r w:rsidRPr="00A67D0F">
              <w:rPr>
                <w:sz w:val="24"/>
                <w:szCs w:val="24"/>
              </w:rPr>
              <w:t xml:space="preserve"> strategi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penggunaan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metode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untuk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meningkatkan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kapasitas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masyarakat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menghadapi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tantangan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agribisnis</w:t>
            </w:r>
            <w:proofErr w:type="spellEnd"/>
            <w:r w:rsidRPr="00A67D0F">
              <w:rPr>
                <w:sz w:val="24"/>
                <w:szCs w:val="24"/>
              </w:rPr>
              <w:t xml:space="preserve"> masa </w:t>
            </w:r>
            <w:proofErr w:type="spellStart"/>
            <w:r w:rsidRPr="00A67D0F">
              <w:rPr>
                <w:sz w:val="24"/>
                <w:szCs w:val="24"/>
              </w:rPr>
              <w:t>depan</w:t>
            </w:r>
            <w:proofErr w:type="spellEnd"/>
            <w:r w:rsidRPr="00A67D0F">
              <w:rPr>
                <w:sz w:val="24"/>
                <w:szCs w:val="24"/>
              </w:rPr>
              <w:t xml:space="preserve"> (KK2)</w:t>
            </w:r>
          </w:p>
        </w:tc>
      </w:tr>
      <w:tr w:rsidR="00AF648D" w:rsidRPr="00A67D0F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A67D0F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Capaian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b/>
                <w:sz w:val="24"/>
                <w:szCs w:val="24"/>
              </w:rPr>
              <w:t>Pembelajaran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A67D0F">
              <w:rPr>
                <w:b/>
                <w:sz w:val="24"/>
                <w:szCs w:val="24"/>
              </w:rPr>
              <w:t>Kuliah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F648D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55D04E7B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pentingnya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manusia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sebagai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bidang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studi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sebagai</w:t>
            </w:r>
            <w:proofErr w:type="spellEnd"/>
            <w:r w:rsidRPr="00A67D0F">
              <w:rPr>
                <w:sz w:val="24"/>
                <w:szCs w:val="24"/>
              </w:rPr>
              <w:t xml:space="preserve"> inti </w:t>
            </w:r>
            <w:proofErr w:type="spellStart"/>
            <w:r w:rsidRPr="00A67D0F">
              <w:rPr>
                <w:sz w:val="24"/>
                <w:szCs w:val="24"/>
              </w:rPr>
              <w:t>fungsi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(PP3)</w:t>
            </w:r>
          </w:p>
        </w:tc>
      </w:tr>
      <w:tr w:rsidR="00AF648D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419C371E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implikasi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Daya </w:t>
            </w:r>
            <w:proofErr w:type="spellStart"/>
            <w:r w:rsidRPr="00A67D0F">
              <w:rPr>
                <w:sz w:val="24"/>
                <w:szCs w:val="24"/>
              </w:rPr>
              <w:t>Manusia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dari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Ilmu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Perilaku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Peraturan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Pemerintah</w:t>
            </w:r>
            <w:proofErr w:type="spellEnd"/>
            <w:r w:rsidRPr="00A67D0F">
              <w:rPr>
                <w:sz w:val="24"/>
                <w:szCs w:val="24"/>
              </w:rPr>
              <w:t xml:space="preserve">, dan </w:t>
            </w:r>
            <w:proofErr w:type="spellStart"/>
            <w:r w:rsidRPr="00A67D0F">
              <w:rPr>
                <w:sz w:val="24"/>
                <w:szCs w:val="24"/>
              </w:rPr>
              <w:t>Konsekuensi</w:t>
            </w:r>
            <w:proofErr w:type="spellEnd"/>
            <w:r w:rsidRPr="00A67D0F">
              <w:rPr>
                <w:sz w:val="24"/>
                <w:szCs w:val="24"/>
              </w:rPr>
              <w:t xml:space="preserve"> Legal (PP3, S9, KU3)</w:t>
            </w:r>
          </w:p>
        </w:tc>
      </w:tr>
      <w:tr w:rsidR="00AF648D" w14:paraId="3005961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23F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F2F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173F" w14:textId="60F7749E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mengetahui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elemen-elemen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fungsi</w:t>
            </w:r>
            <w:proofErr w:type="spellEnd"/>
            <w:r w:rsidRPr="00A67D0F">
              <w:rPr>
                <w:sz w:val="24"/>
                <w:szCs w:val="24"/>
              </w:rPr>
              <w:t xml:space="preserve"> SDM (mis. - </w:t>
            </w:r>
            <w:proofErr w:type="spellStart"/>
            <w:r w:rsidRPr="00A67D0F">
              <w:rPr>
                <w:sz w:val="24"/>
                <w:szCs w:val="24"/>
              </w:rPr>
              <w:t>Perekrutan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pemilihan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, </w:t>
            </w:r>
            <w:proofErr w:type="spellStart"/>
            <w:r w:rsidRPr="00A67D0F">
              <w:rPr>
                <w:sz w:val="24"/>
                <w:szCs w:val="24"/>
              </w:rPr>
              <w:t>dll</w:t>
            </w:r>
            <w:proofErr w:type="spellEnd"/>
            <w:r w:rsidRPr="00A67D0F">
              <w:rPr>
                <w:sz w:val="24"/>
                <w:szCs w:val="24"/>
              </w:rPr>
              <w:t xml:space="preserve">.) Dan </w:t>
            </w:r>
            <w:proofErr w:type="spellStart"/>
            <w:r w:rsidRPr="00A67D0F">
              <w:rPr>
                <w:sz w:val="24"/>
                <w:szCs w:val="24"/>
              </w:rPr>
              <w:t>akrab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konsep</w:t>
            </w:r>
            <w:proofErr w:type="spellEnd"/>
            <w:r w:rsidRPr="00A67D0F">
              <w:rPr>
                <w:sz w:val="24"/>
                <w:szCs w:val="24"/>
              </w:rPr>
              <w:t xml:space="preserve"> &amp; </w:t>
            </w:r>
            <w:proofErr w:type="spellStart"/>
            <w:r w:rsidRPr="00A67D0F">
              <w:rPr>
                <w:sz w:val="24"/>
                <w:szCs w:val="24"/>
              </w:rPr>
              <w:t>terminologi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kunci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setiap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elemen</w:t>
            </w:r>
            <w:proofErr w:type="spellEnd"/>
            <w:r w:rsidRPr="00A67D0F">
              <w:rPr>
                <w:sz w:val="24"/>
                <w:szCs w:val="24"/>
              </w:rPr>
              <w:t xml:space="preserve"> (PP3)</w:t>
            </w:r>
          </w:p>
        </w:tc>
      </w:tr>
      <w:tr w:rsidR="00AF648D" w14:paraId="358E9D81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DD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78AC3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34DDB" w14:textId="17E9B717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menerapkan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prinsip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teknik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manusia</w:t>
            </w:r>
            <w:proofErr w:type="spellEnd"/>
            <w:r w:rsidRPr="00A67D0F">
              <w:rPr>
                <w:sz w:val="24"/>
                <w:szCs w:val="24"/>
              </w:rPr>
              <w:t xml:space="preserve"> pada </w:t>
            </w:r>
            <w:proofErr w:type="spellStart"/>
            <w:r w:rsidRPr="00A67D0F">
              <w:rPr>
                <w:sz w:val="24"/>
                <w:szCs w:val="24"/>
              </w:rPr>
              <w:t>beberapa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kasus</w:t>
            </w:r>
            <w:proofErr w:type="spellEnd"/>
            <w:r w:rsidRPr="00A67D0F">
              <w:rPr>
                <w:sz w:val="24"/>
                <w:szCs w:val="24"/>
              </w:rPr>
              <w:t xml:space="preserve"> SDM </w:t>
            </w:r>
            <w:proofErr w:type="spellStart"/>
            <w:r w:rsidRPr="00A67D0F">
              <w:rPr>
                <w:sz w:val="24"/>
                <w:szCs w:val="24"/>
              </w:rPr>
              <w:t>tertentu</w:t>
            </w:r>
            <w:proofErr w:type="spellEnd"/>
            <w:r w:rsidRPr="00A67D0F">
              <w:rPr>
                <w:sz w:val="24"/>
                <w:szCs w:val="24"/>
              </w:rPr>
              <w:t xml:space="preserve"> (KU7, KK2)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Kemampuan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b/>
                <w:sz w:val="24"/>
                <w:szCs w:val="24"/>
              </w:rPr>
              <w:t>akhir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b/>
                <w:sz w:val="24"/>
                <w:szCs w:val="24"/>
              </w:rPr>
              <w:t>tiap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b/>
                <w:sz w:val="24"/>
                <w:szCs w:val="24"/>
              </w:rPr>
              <w:t>tahapan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b/>
                <w:sz w:val="24"/>
                <w:szCs w:val="24"/>
              </w:rPr>
              <w:t>belajar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A67D0F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0D6D8B29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</w:rPr>
              <w:t>Mahasiswa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menjelaskan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konsep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dasar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manajemen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strategis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Daya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Manusia</w:t>
            </w:r>
            <w:proofErr w:type="spellEnd"/>
          </w:p>
        </w:tc>
      </w:tr>
      <w:tr w:rsidR="00AF648D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23D8770C" w:rsidR="00AF648D" w:rsidRPr="00A67D0F" w:rsidRDefault="00211AE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tanggung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</w:tr>
      <w:tr w:rsidR="00AF648D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4A6A6590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tren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komposis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pengaruhnya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</w:tr>
      <w:tr w:rsidR="00AF648D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05ECFEB4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apa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dimaksud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kesetaraan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kesempatan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bagi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keselamatan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berdasarkan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perundang-udangan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ketenagakerjaan</w:t>
            </w:r>
            <w:proofErr w:type="spellEnd"/>
            <w:r w:rsidRPr="00A67D0F">
              <w:rPr>
                <w:sz w:val="24"/>
                <w:szCs w:val="24"/>
              </w:rPr>
              <w:t xml:space="preserve"> di Indonesia dan </w:t>
            </w:r>
            <w:proofErr w:type="spellStart"/>
            <w:r w:rsidRPr="00A67D0F">
              <w:rPr>
                <w:sz w:val="24"/>
                <w:szCs w:val="24"/>
              </w:rPr>
              <w:t>internasiona</w:t>
            </w:r>
            <w:r w:rsidRPr="00A67D0F">
              <w:rPr>
                <w:sz w:val="24"/>
                <w:szCs w:val="24"/>
              </w:rPr>
              <w:t>l</w:t>
            </w:r>
            <w:proofErr w:type="spellEnd"/>
          </w:p>
        </w:tc>
      </w:tr>
      <w:tr w:rsidR="00AF648D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42EE53BF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proses </w:t>
            </w:r>
            <w:proofErr w:type="spellStart"/>
            <w:r w:rsidRPr="00A67D0F">
              <w:rPr>
                <w:sz w:val="24"/>
                <w:szCs w:val="24"/>
              </w:rPr>
              <w:t>merencanakan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mendesain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sesuai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strategi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AF648D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06DD7363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program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kepada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AF648D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1988DFE2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karir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UTS</w:t>
            </w:r>
          </w:p>
        </w:tc>
      </w:tr>
      <w:tr w:rsidR="00AF648D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5B6BC244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dari</w:t>
            </w:r>
            <w:proofErr w:type="spellEnd"/>
            <w:r w:rsidRPr="00A67D0F">
              <w:rPr>
                <w:sz w:val="24"/>
                <w:szCs w:val="24"/>
              </w:rPr>
              <w:t xml:space="preserve"> MSDM </w:t>
            </w:r>
            <w:proofErr w:type="spellStart"/>
            <w:r w:rsidRPr="00A67D0F">
              <w:rPr>
                <w:sz w:val="24"/>
                <w:szCs w:val="24"/>
              </w:rPr>
              <w:t>berbasis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teknologi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high-performance work system</w:t>
            </w:r>
          </w:p>
        </w:tc>
      </w:tr>
      <w:tr w:rsidR="00AF648D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72790CA9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membedakan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involuntary dan voluntary turnover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pengaruhnya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tehadap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</w:tr>
      <w:tr w:rsidR="00AF648D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45AC7FA6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mengidentifikasi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keputusankeputusan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mendesain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struktur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gaji</w:t>
            </w:r>
            <w:proofErr w:type="spellEnd"/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4F07A006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insentif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</w:p>
        </w:tc>
      </w:tr>
      <w:tr w:rsidR="00AF648D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Politik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Islam</w:t>
            </w:r>
          </w:p>
        </w:tc>
      </w:tr>
      <w:tr w:rsidR="00AF648D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7F7CFFD9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serikat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di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</w:t>
            </w:r>
            <w:proofErr w:type="spellEnd"/>
          </w:p>
        </w:tc>
      </w:tr>
      <w:tr w:rsidR="00AF648D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2ED3470A" w:rsidR="00AF648D" w:rsidRPr="00A67D0F" w:rsidRDefault="001A35A2">
            <w:pPr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bagaimana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aktivitas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bisnis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internasional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mempengaruhi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A67D0F" w:rsidRDefault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A67D0F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Korelasi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A67D0F">
              <w:rPr>
                <w:b/>
                <w:sz w:val="24"/>
                <w:szCs w:val="24"/>
              </w:rPr>
              <w:t>dengan</w:t>
            </w:r>
            <w:proofErr w:type="spellEnd"/>
            <w:r w:rsidRPr="00A67D0F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A67D0F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701ABDC9" w:rsidR="00AF648D" w:rsidRPr="00A67D0F" w:rsidRDefault="001A35A2" w:rsidP="00DA069A">
            <w:p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Mata </w:t>
            </w:r>
            <w:proofErr w:type="spellStart"/>
            <w:r w:rsidRPr="00A67D0F">
              <w:rPr>
                <w:sz w:val="24"/>
                <w:szCs w:val="24"/>
              </w:rPr>
              <w:t>kuliah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memperkenalkan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pada </w:t>
            </w:r>
            <w:proofErr w:type="spellStart"/>
            <w:r w:rsidRPr="00A67D0F">
              <w:rPr>
                <w:sz w:val="24"/>
                <w:szCs w:val="24"/>
              </w:rPr>
              <w:t>prinsip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dasar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teknik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manusia</w:t>
            </w:r>
            <w:proofErr w:type="spellEnd"/>
            <w:r w:rsidRPr="00A67D0F">
              <w:rPr>
                <w:sz w:val="24"/>
                <w:szCs w:val="24"/>
              </w:rPr>
              <w:t xml:space="preserve">. Materi </w:t>
            </w:r>
            <w:proofErr w:type="spellStart"/>
            <w:r w:rsidRPr="00A67D0F">
              <w:rPr>
                <w:sz w:val="24"/>
                <w:szCs w:val="24"/>
              </w:rPr>
              <w:t>ini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memberikan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pandangan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praktis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mengintegrasikan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kontribusi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ilmu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perilaku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aspek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teknis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menerapkan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fungsi</w:t>
            </w:r>
            <w:proofErr w:type="spellEnd"/>
            <w:r w:rsidRPr="00A67D0F">
              <w:rPr>
                <w:sz w:val="24"/>
                <w:szCs w:val="24"/>
              </w:rPr>
              <w:t xml:space="preserve"> SDM di 'dunia </w:t>
            </w:r>
            <w:proofErr w:type="spellStart"/>
            <w:r w:rsidRPr="00A67D0F">
              <w:rPr>
                <w:sz w:val="24"/>
                <w:szCs w:val="24"/>
              </w:rPr>
              <w:t>nyata</w:t>
            </w:r>
            <w:proofErr w:type="spellEnd"/>
            <w:r w:rsidRPr="00A67D0F">
              <w:rPr>
                <w:sz w:val="24"/>
                <w:szCs w:val="24"/>
              </w:rPr>
              <w:t xml:space="preserve">.' </w:t>
            </w: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diperkenalkan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pengelolaan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melalui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desain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implementasi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kebijakan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prosedur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sumber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manusia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efektif</w:t>
            </w:r>
            <w:proofErr w:type="spellEnd"/>
            <w:r w:rsidRPr="00A67D0F">
              <w:rPr>
                <w:sz w:val="24"/>
                <w:szCs w:val="24"/>
              </w:rPr>
              <w:t>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7BC5F435" w:rsidR="00AF648D" w:rsidRPr="00A67D0F" w:rsidRDefault="00DA069A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A67D0F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A67D0F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A67D0F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57ACDE70" w:rsidR="00AF648D" w:rsidRPr="00A67D0F" w:rsidRDefault="001A35A2" w:rsidP="00DA069A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Noe, A.R., Hollenbeck, J.R., Gerhart, B., Wright, P.M (2016). Fundamentals of Human Resources Management, 6th Edition, New York: McGraw Hill Education</w:t>
            </w: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A67D0F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67D0F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A67D0F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A67D0F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046518C0" w:rsidR="00AF648D" w:rsidRPr="00A67D0F" w:rsidRDefault="001A35A2" w:rsidP="001A35A2">
            <w:pPr>
              <w:numPr>
                <w:ilvl w:val="0"/>
                <w:numId w:val="5"/>
              </w:numPr>
              <w:ind w:left="469" w:hanging="425"/>
              <w:jc w:val="both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Perundang-Undangan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Ketenagakerjaan</w:t>
            </w:r>
            <w:proofErr w:type="spellEnd"/>
          </w:p>
        </w:tc>
      </w:tr>
      <w:tr w:rsidR="001A35A2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1A35A2" w:rsidRDefault="001A35A2" w:rsidP="001A35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5E84D276" w:rsidR="001A35A2" w:rsidRPr="00A67D0F" w:rsidRDefault="001A35A2" w:rsidP="001A3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A67D0F">
              <w:rPr>
                <w:bCs/>
                <w:color w:val="000000"/>
                <w:sz w:val="24"/>
                <w:szCs w:val="24"/>
              </w:rPr>
              <w:t xml:space="preserve">Dr. Didik </w:t>
            </w:r>
            <w:proofErr w:type="spellStart"/>
            <w:r w:rsidRPr="00A67D0F">
              <w:rPr>
                <w:bCs/>
                <w:color w:val="000000"/>
                <w:sz w:val="24"/>
                <w:szCs w:val="24"/>
              </w:rPr>
              <w:t>Hadiyatno</w:t>
            </w:r>
            <w:proofErr w:type="spellEnd"/>
            <w:r w:rsidRPr="00A67D0F">
              <w:rPr>
                <w:bCs/>
                <w:color w:val="000000"/>
                <w:sz w:val="24"/>
                <w:szCs w:val="24"/>
              </w:rPr>
              <w:t xml:space="preserve">, S.E., </w:t>
            </w:r>
            <w:proofErr w:type="spellStart"/>
            <w:r w:rsidRPr="00A67D0F">
              <w:rPr>
                <w:bCs/>
                <w:color w:val="000000"/>
                <w:sz w:val="24"/>
                <w:szCs w:val="24"/>
              </w:rPr>
              <w:t>M.Si</w:t>
            </w:r>
            <w:proofErr w:type="spellEnd"/>
            <w:r w:rsidRPr="00A67D0F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A67D0F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A67D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A67D0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A67D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7905A3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35D4AF12" w:rsidR="007905A3" w:rsidRDefault="007905A3" w:rsidP="007905A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4D24D4C3" w:rsidR="007905A3" w:rsidRPr="00A67D0F" w:rsidRDefault="007905A3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</w:rPr>
              <w:t>Mahasiswa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mampu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menjelaskan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konsep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dasar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manajemen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strategis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Sumber</w:t>
            </w:r>
            <w:proofErr w:type="spellEnd"/>
            <w:r w:rsidRPr="00A67D0F">
              <w:rPr>
                <w:color w:val="000000"/>
                <w:sz w:val="24"/>
                <w:szCs w:val="24"/>
              </w:rPr>
              <w:t xml:space="preserve"> Daya </w:t>
            </w:r>
            <w:proofErr w:type="spellStart"/>
            <w:r w:rsidRPr="00A67D0F">
              <w:rPr>
                <w:color w:val="000000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3F258534" w:rsidR="007905A3" w:rsidRPr="00A67D0F" w:rsidRDefault="007905A3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konsep</w:t>
            </w:r>
            <w:proofErr w:type="spellEnd"/>
            <w:r w:rsidRPr="00A67D0F">
              <w:rPr>
                <w:sz w:val="24"/>
                <w:szCs w:val="24"/>
              </w:rPr>
              <w:t xml:space="preserve"> MSDM, </w:t>
            </w:r>
            <w:proofErr w:type="spellStart"/>
            <w:r w:rsidRPr="00A67D0F">
              <w:rPr>
                <w:sz w:val="24"/>
                <w:szCs w:val="24"/>
              </w:rPr>
              <w:t>tanggung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MSDM, </w:t>
            </w:r>
            <w:proofErr w:type="spellStart"/>
            <w:r w:rsidRPr="00A67D0F">
              <w:rPr>
                <w:sz w:val="24"/>
                <w:szCs w:val="24"/>
              </w:rPr>
              <w:t>kompetensi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pengawas</w:t>
            </w:r>
            <w:proofErr w:type="spellEnd"/>
            <w:r w:rsidRPr="00A67D0F">
              <w:rPr>
                <w:sz w:val="24"/>
                <w:szCs w:val="24"/>
              </w:rPr>
              <w:t xml:space="preserve"> MSDM, </w:t>
            </w:r>
            <w:proofErr w:type="spellStart"/>
            <w:r w:rsidRPr="00A67D0F">
              <w:rPr>
                <w:sz w:val="24"/>
                <w:szCs w:val="24"/>
              </w:rPr>
              <w:t>isu-isu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terkini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tentang</w:t>
            </w:r>
            <w:proofErr w:type="spellEnd"/>
            <w:r w:rsidRPr="00A67D0F">
              <w:rPr>
                <w:sz w:val="24"/>
                <w:szCs w:val="24"/>
              </w:rPr>
              <w:t xml:space="preserve"> MSDM dan </w:t>
            </w:r>
            <w:proofErr w:type="spellStart"/>
            <w:r w:rsidRPr="00A67D0F">
              <w:rPr>
                <w:sz w:val="24"/>
                <w:szCs w:val="24"/>
              </w:rPr>
              <w:t>jenis</w:t>
            </w:r>
            <w:proofErr w:type="spellEnd"/>
            <w:r w:rsidRPr="00A67D0F">
              <w:rPr>
                <w:sz w:val="24"/>
                <w:szCs w:val="24"/>
              </w:rPr>
              <w:t>/</w:t>
            </w:r>
            <w:proofErr w:type="spellStart"/>
            <w:r w:rsidRPr="00A67D0F">
              <w:rPr>
                <w:sz w:val="24"/>
                <w:szCs w:val="24"/>
              </w:rPr>
              <w:t>peluang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karir</w:t>
            </w:r>
            <w:proofErr w:type="spellEnd"/>
            <w:r w:rsidRPr="00A67D0F">
              <w:rPr>
                <w:sz w:val="24"/>
                <w:szCs w:val="24"/>
              </w:rPr>
              <w:t xml:space="preserve"> di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689D12" w14:textId="77777777" w:rsidR="007905A3" w:rsidRPr="00A67D0F" w:rsidRDefault="007905A3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1C5EB90C" w14:textId="77777777" w:rsidR="007905A3" w:rsidRPr="00A67D0F" w:rsidRDefault="007905A3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78EDBE59" w14:textId="77777777" w:rsidR="007905A3" w:rsidRPr="00A67D0F" w:rsidRDefault="007905A3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53AC56FD" w14:textId="77777777" w:rsidR="007905A3" w:rsidRPr="00A67D0F" w:rsidRDefault="007905A3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30B56967" w14:textId="7F0E5891" w:rsidR="007905A3" w:rsidRPr="00A67D0F" w:rsidRDefault="007905A3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745138" w14:textId="77777777" w:rsidR="007905A3" w:rsidRPr="00A67D0F" w:rsidRDefault="007905A3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3A99675D" w14:textId="691749BA" w:rsidR="007905A3" w:rsidRPr="00A67D0F" w:rsidRDefault="007905A3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5447B1" w14:textId="77777777" w:rsidR="007905A3" w:rsidRPr="00A67D0F" w:rsidRDefault="007905A3" w:rsidP="00A67D0F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7D36908C" w:rsidR="007905A3" w:rsidRPr="00A67D0F" w:rsidRDefault="007905A3" w:rsidP="00A67D0F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16B4CC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74B80BF0" w14:textId="0C441CEF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MSDM dan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0AA2CAC2" w14:textId="345B939C" w:rsidR="007905A3" w:rsidRPr="00A67D0F" w:rsidRDefault="007905A3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="00A67D0F" w:rsidRPr="00A67D0F">
              <w:rPr>
                <w:sz w:val="24"/>
                <w:szCs w:val="24"/>
              </w:rPr>
              <w:t>Buku</w:t>
            </w:r>
            <w:proofErr w:type="spellEnd"/>
            <w:r w:rsidR="00A67D0F" w:rsidRPr="00A67D0F">
              <w:rPr>
                <w:sz w:val="24"/>
                <w:szCs w:val="24"/>
              </w:rPr>
              <w:t xml:space="preserve"> </w:t>
            </w:r>
            <w:proofErr w:type="spellStart"/>
            <w:r w:rsidR="00A67D0F"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02365F57" w:rsidR="007905A3" w:rsidRPr="00A67D0F" w:rsidRDefault="007905A3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0114325B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29B19E8B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tanggung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141B130F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konsep</w:t>
            </w:r>
            <w:proofErr w:type="spellEnd"/>
            <w:r w:rsidRPr="00A67D0F">
              <w:rPr>
                <w:sz w:val="24"/>
                <w:szCs w:val="24"/>
              </w:rPr>
              <w:t xml:space="preserve"> MSDM, </w:t>
            </w:r>
            <w:proofErr w:type="spellStart"/>
            <w:r w:rsidRPr="00A67D0F">
              <w:rPr>
                <w:sz w:val="24"/>
                <w:szCs w:val="24"/>
              </w:rPr>
              <w:t>tanggung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7E6A13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61B839D6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738FA5E6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68DC5C9E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4F231667" w14:textId="54EE6AA7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11DB50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101F490F" w14:textId="72AA948D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415E16E2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D72712" w14:textId="09CC1916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Materi: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Tanggung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departemen</w:t>
            </w:r>
            <w:proofErr w:type="spellEnd"/>
            <w:r w:rsidRPr="00A67D0F">
              <w:rPr>
                <w:sz w:val="24"/>
                <w:szCs w:val="24"/>
              </w:rPr>
              <w:t xml:space="preserve"> MSDM;</w:t>
            </w:r>
            <w:r w:rsidRPr="00A67D0F">
              <w:rPr>
                <w:sz w:val="24"/>
                <w:szCs w:val="24"/>
              </w:rPr>
              <w:br/>
            </w:r>
            <w:r w:rsidRPr="00A67D0F">
              <w:rPr>
                <w:sz w:val="24"/>
                <w:szCs w:val="24"/>
              </w:rPr>
              <w:br/>
              <w:t>Pustaka:</w:t>
            </w:r>
            <w:r w:rsidRPr="00A67D0F">
              <w:rPr>
                <w:sz w:val="24"/>
                <w:szCs w:val="24"/>
              </w:rPr>
              <w:br/>
              <w:t>1.Utama</w:t>
            </w:r>
            <w:r w:rsidRPr="00A67D0F">
              <w:rPr>
                <w:sz w:val="24"/>
                <w:szCs w:val="24"/>
              </w:rPr>
              <w:br/>
              <w:t>2.Pendukung: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3A0D91C1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EDC6EFF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2C75C9B4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tren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komposis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pengaruhnya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lastRenderedPageBreak/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4F7F3EC5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pengaruh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perubahan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tren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komposisi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6831C3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4C49BEB6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442620C9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05C4A29A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027DD016" w14:textId="22835BDF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B833DD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2FA47B50" w14:textId="61B1167A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1E2E67B1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7CD2B1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42AB8B59" w14:textId="46B88C0B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Tren </w:t>
            </w:r>
            <w:proofErr w:type="spellStart"/>
            <w:r w:rsidRPr="00A67D0F">
              <w:rPr>
                <w:sz w:val="24"/>
                <w:szCs w:val="24"/>
              </w:rPr>
              <w:t>komposisi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7D0F">
              <w:rPr>
                <w:sz w:val="24"/>
                <w:szCs w:val="24"/>
              </w:rPr>
              <w:t>kerja;organisasi</w:t>
            </w:r>
            <w:proofErr w:type="spellEnd"/>
            <w:proofErr w:type="gramEnd"/>
            <w:r w:rsidRPr="00A67D0F">
              <w:rPr>
                <w:sz w:val="24"/>
                <w:szCs w:val="24"/>
              </w:rPr>
              <w:t>;</w:t>
            </w:r>
          </w:p>
          <w:p w14:paraId="3E7F9C82" w14:textId="4A0DA4E8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7463EB68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02B4DE91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023AFFD9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apa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dimaksud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kesetaraan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kesempatan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bagi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keselamatan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berdasarkan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perundangudangan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ketenagakerjaan</w:t>
            </w:r>
            <w:proofErr w:type="spellEnd"/>
            <w:r w:rsidRPr="00A67D0F">
              <w:rPr>
                <w:sz w:val="24"/>
                <w:szCs w:val="24"/>
              </w:rPr>
              <w:t xml:space="preserve"> di Indonesia dan </w:t>
            </w:r>
            <w:proofErr w:type="spellStart"/>
            <w:r w:rsidRPr="00A67D0F">
              <w:rPr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67696B55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kesetaraan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kesempatan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keselamatan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berdasarkan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peraturan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berlaku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baik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lokal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maupun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C08323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4E738B96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41BEEA56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5430ADD9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269336B3" w14:textId="721B7766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BDA44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78A625D9" w14:textId="6C47FCD8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17C4BEB1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BA958D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3D0814CB" w14:textId="77941743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Kesetaraan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kesempatan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Keselamatan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Perundangundangan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7D0F">
              <w:rPr>
                <w:sz w:val="24"/>
                <w:szCs w:val="24"/>
              </w:rPr>
              <w:t>kerjaan;organisasi</w:t>
            </w:r>
            <w:proofErr w:type="spellEnd"/>
            <w:proofErr w:type="gramEnd"/>
            <w:r w:rsidRPr="00A67D0F">
              <w:rPr>
                <w:sz w:val="24"/>
                <w:szCs w:val="24"/>
              </w:rPr>
              <w:t>;</w:t>
            </w:r>
          </w:p>
          <w:p w14:paraId="3B6CE531" w14:textId="7A12900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2A414BC9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699B37B4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2C17CA6E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proses </w:t>
            </w:r>
            <w:proofErr w:type="spellStart"/>
            <w:r w:rsidRPr="00A67D0F">
              <w:rPr>
                <w:sz w:val="24"/>
                <w:szCs w:val="24"/>
              </w:rPr>
              <w:t>merencanakan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mendesain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tenaga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sesuai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dengan</w:t>
            </w:r>
            <w:proofErr w:type="spellEnd"/>
            <w:r w:rsidRPr="00A67D0F">
              <w:rPr>
                <w:sz w:val="24"/>
                <w:szCs w:val="24"/>
              </w:rPr>
              <w:t xml:space="preserve"> strategi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6E848683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proses </w:t>
            </w:r>
            <w:proofErr w:type="spellStart"/>
            <w:r w:rsidRPr="00A67D0F">
              <w:rPr>
                <w:sz w:val="24"/>
                <w:szCs w:val="24"/>
              </w:rPr>
              <w:t>perecanaan</w:t>
            </w:r>
            <w:proofErr w:type="spellEnd"/>
            <w:r w:rsidRPr="00A67D0F">
              <w:rPr>
                <w:sz w:val="24"/>
                <w:szCs w:val="24"/>
              </w:rPr>
              <w:t xml:space="preserve"> SDM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BA12EE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6174FEB7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605C8C8B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59889712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03B5B9EB" w14:textId="260F5199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DB43B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6DAA2038" w14:textId="5D301B21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79F260AE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C77881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0AB92CCA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Perencanaan</w:t>
            </w:r>
            <w:proofErr w:type="spellEnd"/>
            <w:r w:rsidRPr="00A67D0F">
              <w:rPr>
                <w:sz w:val="24"/>
                <w:szCs w:val="24"/>
              </w:rPr>
              <w:t xml:space="preserve"> SDM </w:t>
            </w:r>
            <w:proofErr w:type="spellStart"/>
            <w:r w:rsidRPr="00A67D0F">
              <w:rPr>
                <w:sz w:val="24"/>
                <w:szCs w:val="24"/>
              </w:rPr>
              <w:t>Kebijakan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rekrutmen</w:t>
            </w:r>
            <w:proofErr w:type="spellEnd"/>
            <w:r w:rsidRPr="00A67D0F">
              <w:rPr>
                <w:sz w:val="24"/>
                <w:szCs w:val="24"/>
              </w:rPr>
              <w:t xml:space="preserve"> Peran </w:t>
            </w:r>
            <w:proofErr w:type="spellStart"/>
            <w:r w:rsidRPr="00A67D0F">
              <w:rPr>
                <w:sz w:val="24"/>
                <w:szCs w:val="24"/>
              </w:rPr>
              <w:t>staf</w:t>
            </w:r>
            <w:proofErr w:type="spellEnd"/>
            <w:r w:rsidRPr="00A67D0F">
              <w:rPr>
                <w:sz w:val="24"/>
                <w:szCs w:val="24"/>
              </w:rPr>
              <w:t xml:space="preserve"> SDM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proses </w:t>
            </w:r>
            <w:proofErr w:type="spellStart"/>
            <w:r w:rsidRPr="00A67D0F">
              <w:rPr>
                <w:sz w:val="24"/>
                <w:szCs w:val="24"/>
              </w:rPr>
              <w:t>rekrutmen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3131D4C8" w14:textId="7E7FDFC9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312E653E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5B1FEE2C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program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kepada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45A9F46A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cara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melakukan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analisis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36091F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2108BEC9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678BEB4D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7DCED158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3F4100EA" w14:textId="01BD2B62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8A0009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</w:t>
            </w:r>
            <w:r w:rsidRPr="00A67D0F">
              <w:rPr>
                <w:color w:val="000000"/>
                <w:sz w:val="24"/>
                <w:szCs w:val="24"/>
                <w:lang w:val="en-ID"/>
              </w:rPr>
              <w:t>h</w:t>
            </w:r>
            <w:proofErr w:type="spellEnd"/>
          </w:p>
          <w:p w14:paraId="3BCCDA4A" w14:textId="6B1F22E1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166D6E53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76B582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73388CEC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Progam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Analisis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kebutuhan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5538BC6A" w14:textId="34927FAB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71C1A1E1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10D162F9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karir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75E8845E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dan program </w:t>
            </w:r>
            <w:proofErr w:type="spellStart"/>
            <w:r w:rsidRPr="00A67D0F">
              <w:rPr>
                <w:sz w:val="24"/>
                <w:szCs w:val="24"/>
              </w:rPr>
              <w:t>pelatihan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3C4AB9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7E0B709F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17EC86AA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67F6E7D2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5AEE8DB9" w14:textId="2FAD30F7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3E5122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0CBFD617" w14:textId="6DB0446F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290F8AD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BBEBF8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53D6E36B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Metoda-metoda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pengembangan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karir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23E00BA6" w14:textId="5B8336B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6F1C59C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10</w:t>
            </w:r>
            <w:r w:rsidRPr="00A67D0F">
              <w:rPr>
                <w:sz w:val="24"/>
                <w:szCs w:val="24"/>
              </w:rPr>
              <w:t>%</w:t>
            </w:r>
          </w:p>
        </w:tc>
      </w:tr>
      <w:tr w:rsidR="00A67D0F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57A80AD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4879018C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Kriteria</w:t>
            </w:r>
            <w:proofErr w:type="spellEnd"/>
            <w:r w:rsidRPr="00A67D0F">
              <w:rPr>
                <w:sz w:val="24"/>
                <w:szCs w:val="24"/>
              </w:rPr>
              <w:t xml:space="preserve">: Test </w:t>
            </w:r>
            <w:proofErr w:type="spellStart"/>
            <w:r w:rsidRPr="00A67D0F">
              <w:rPr>
                <w:sz w:val="24"/>
                <w:szCs w:val="24"/>
              </w:rPr>
              <w:t>terstruktur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57BB541A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55EAEFBF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0B9EA687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1</w:t>
            </w: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032876BC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dari</w:t>
            </w:r>
            <w:proofErr w:type="spellEnd"/>
            <w:r w:rsidRPr="00A67D0F">
              <w:rPr>
                <w:sz w:val="24"/>
                <w:szCs w:val="24"/>
              </w:rPr>
              <w:t xml:space="preserve"> MSDM </w:t>
            </w:r>
            <w:proofErr w:type="spellStart"/>
            <w:r w:rsidRPr="00A67D0F">
              <w:rPr>
                <w:sz w:val="24"/>
                <w:szCs w:val="24"/>
              </w:rPr>
              <w:t>berbasis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teknologi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highperformance</w:t>
            </w:r>
            <w:proofErr w:type="spellEnd"/>
            <w:r w:rsidRPr="00A67D0F">
              <w:rPr>
                <w:sz w:val="24"/>
                <w:szCs w:val="24"/>
              </w:rPr>
              <w:t xml:space="preserve"> work system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73E1626E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highperformance</w:t>
            </w:r>
            <w:proofErr w:type="spellEnd"/>
            <w:r w:rsidRPr="00A67D0F">
              <w:rPr>
                <w:sz w:val="24"/>
                <w:szCs w:val="24"/>
              </w:rPr>
              <w:t xml:space="preserve"> work system dan </w:t>
            </w:r>
            <w:proofErr w:type="spellStart"/>
            <w:r w:rsidRPr="00A67D0F">
              <w:rPr>
                <w:sz w:val="24"/>
                <w:szCs w:val="24"/>
              </w:rPr>
              <w:t>elemenelemennya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E98E04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40FA2AB6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58455A3D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77A3B2FE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48552614" w14:textId="283D9E2B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4B1198" w14:textId="09F3EBF8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05A29A12" w14:textId="3DAE7F01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663F179E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1CB483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7F45B82A" w14:textId="114CE231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Highperformance</w:t>
            </w:r>
            <w:proofErr w:type="spellEnd"/>
            <w:r w:rsidRPr="00A67D0F">
              <w:rPr>
                <w:sz w:val="24"/>
                <w:szCs w:val="24"/>
              </w:rPr>
              <w:t xml:space="preserve"> work system MSDM </w:t>
            </w:r>
            <w:proofErr w:type="spellStart"/>
            <w:r w:rsidRPr="00A67D0F">
              <w:rPr>
                <w:sz w:val="24"/>
                <w:szCs w:val="24"/>
              </w:rPr>
              <w:t>berbasis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teknologi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Sistem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Manajemen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1831B71A" w14:textId="30B7146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793FEB75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673F687D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membedakan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lastRenderedPageBreak/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involuntary dan voluntary turnover </w:t>
            </w:r>
            <w:proofErr w:type="spellStart"/>
            <w:r w:rsidRPr="00A67D0F">
              <w:rPr>
                <w:sz w:val="24"/>
                <w:szCs w:val="24"/>
              </w:rPr>
              <w:t>serta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pengaruhnya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tehadap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5B43370A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perbedaan</w:t>
            </w:r>
            <w:proofErr w:type="spellEnd"/>
            <w:r w:rsidRPr="00A67D0F">
              <w:rPr>
                <w:sz w:val="24"/>
                <w:szCs w:val="24"/>
              </w:rPr>
              <w:t xml:space="preserve"> involuntary dan voluntary </w:t>
            </w:r>
            <w:proofErr w:type="spellStart"/>
            <w:r w:rsidRPr="00A67D0F">
              <w:rPr>
                <w:sz w:val="24"/>
                <w:szCs w:val="24"/>
              </w:rPr>
              <w:t>turnoever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731FBE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0095B6E9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0A96B7EE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lastRenderedPageBreak/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531ACA2D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04937396" w14:textId="335BF281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293E74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27C5FA24" w14:textId="576E791D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6AA67046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DC3A52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46E2E2FC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Voluntary dan Involuntary </w:t>
            </w:r>
            <w:proofErr w:type="spellStart"/>
            <w:r w:rsidRPr="00A67D0F">
              <w:rPr>
                <w:sz w:val="24"/>
                <w:szCs w:val="24"/>
              </w:rPr>
              <w:t>turnoever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lastRenderedPageBreak/>
              <w:t>Persepsi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karyawan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keadilan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0C1F860D" w14:textId="0B4A9280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32B12405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lastRenderedPageBreak/>
              <w:t>5%</w:t>
            </w:r>
          </w:p>
        </w:tc>
      </w:tr>
      <w:tr w:rsidR="00A67D0F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6F6E8D14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mengidentifikasi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keputusankeputusan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mendesain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struktur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08D41E2B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mengidentifikasi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berbagai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keputusan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proses </w:t>
            </w:r>
            <w:proofErr w:type="spellStart"/>
            <w:r w:rsidRPr="00A67D0F">
              <w:rPr>
                <w:sz w:val="24"/>
                <w:szCs w:val="24"/>
              </w:rPr>
              <w:t>desain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struktur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gaji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4C7A62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7FFFD4B2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148F9B5D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64480B6F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4C498A55" w14:textId="11C485C4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C45145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3C4CAEC1" w14:textId="2CC7BDAD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0E2E2518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27DEBE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20874397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Struktur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gaji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Persepsi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organisasi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712469E2" w14:textId="4D1B0478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651F7012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1E71C822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atara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insentif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0D62726A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antara</w:t>
            </w:r>
            <w:proofErr w:type="spellEnd"/>
            <w:r w:rsidRPr="00A67D0F">
              <w:rPr>
                <w:sz w:val="24"/>
                <w:szCs w:val="24"/>
              </w:rPr>
              <w:t xml:space="preserve"> program </w:t>
            </w:r>
            <w:proofErr w:type="spellStart"/>
            <w:r w:rsidRPr="00A67D0F">
              <w:rPr>
                <w:sz w:val="24"/>
                <w:szCs w:val="24"/>
              </w:rPr>
              <w:t>insentif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FBE777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68EBA229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32B8E83F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7AB27B32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51087855" w14:textId="32B864B3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F9448E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Ceramah</w:t>
            </w:r>
          </w:p>
          <w:p w14:paraId="4CFD2E58" w14:textId="302559F8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1B51C045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69A772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5CA940A8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Program </w:t>
            </w:r>
            <w:proofErr w:type="spellStart"/>
            <w:r w:rsidRPr="00A67D0F">
              <w:rPr>
                <w:sz w:val="24"/>
                <w:szCs w:val="24"/>
              </w:rPr>
              <w:t>insentif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Penilaian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 xml:space="preserve"> individual </w:t>
            </w:r>
            <w:proofErr w:type="spellStart"/>
            <w:r w:rsidRPr="00A67D0F">
              <w:rPr>
                <w:sz w:val="24"/>
                <w:szCs w:val="24"/>
              </w:rPr>
              <w:t>Penilaian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kinerja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tim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000401E5" w14:textId="078A3894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6DA55BD8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3844355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Memahami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Politik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2FF8C9" w14:textId="77777777" w:rsidR="00A67D0F" w:rsidRPr="00A67D0F" w:rsidRDefault="00A67D0F" w:rsidP="00A67D0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benefits </w:t>
            </w:r>
          </w:p>
          <w:p w14:paraId="2290BAB7" w14:textId="06FC114A" w:rsidR="00A67D0F" w:rsidRPr="00A67D0F" w:rsidRDefault="00A67D0F" w:rsidP="00A67D0F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perbedaan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berbagai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jenis</w:t>
            </w:r>
            <w:proofErr w:type="spellEnd"/>
            <w:r w:rsidRPr="00A67D0F">
              <w:rPr>
                <w:sz w:val="24"/>
                <w:szCs w:val="24"/>
              </w:rPr>
              <w:t xml:space="preserve"> program benefits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0E2BC2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69B19D39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5DE98C44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63B6F081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2557B687" w14:textId="0289C9C5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6C4E61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Ceramah</w:t>
            </w:r>
          </w:p>
          <w:p w14:paraId="31022DCA" w14:textId="6C7B5B59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2A49D389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6B1A7E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06133F05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 xml:space="preserve">Peran program benefits </w:t>
            </w:r>
            <w:proofErr w:type="spellStart"/>
            <w:r w:rsidRPr="00A67D0F">
              <w:rPr>
                <w:sz w:val="24"/>
                <w:szCs w:val="24"/>
              </w:rPr>
              <w:t>Berbagai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jenis</w:t>
            </w:r>
            <w:proofErr w:type="spellEnd"/>
            <w:r w:rsidRPr="00A67D0F">
              <w:rPr>
                <w:sz w:val="24"/>
                <w:szCs w:val="24"/>
              </w:rPr>
              <w:t xml:space="preserve"> program benefits;</w:t>
            </w:r>
          </w:p>
          <w:p w14:paraId="060939C2" w14:textId="09CFDB0D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42189C18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5%</w:t>
            </w:r>
          </w:p>
        </w:tc>
      </w:tr>
      <w:tr w:rsidR="00A67D0F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5BDDDE01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serikat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di </w:t>
            </w:r>
            <w:proofErr w:type="spellStart"/>
            <w:r w:rsidRPr="00A67D0F">
              <w:rPr>
                <w:sz w:val="24"/>
                <w:szCs w:val="24"/>
              </w:rPr>
              <w:t>dalam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organisas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19C756" w14:textId="77777777" w:rsidR="00A67D0F" w:rsidRPr="00A67D0F" w:rsidRDefault="00A67D0F" w:rsidP="00A67D0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serikat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</w:p>
          <w:p w14:paraId="3FA8292D" w14:textId="47042C06" w:rsidR="00A67D0F" w:rsidRPr="00A67D0F" w:rsidRDefault="00A67D0F" w:rsidP="00A67D0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Penguasaan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terhadap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perundangundangan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tentang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serikat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pekerja</w:t>
            </w:r>
            <w:proofErr w:type="spellEnd"/>
            <w:r w:rsidRPr="00A67D0F">
              <w:rPr>
                <w:sz w:val="24"/>
                <w:szCs w:val="24"/>
              </w:rPr>
              <w:t xml:space="preserve"> dan </w:t>
            </w:r>
            <w:proofErr w:type="spellStart"/>
            <w:r w:rsidRPr="00A67D0F">
              <w:rPr>
                <w:sz w:val="24"/>
                <w:szCs w:val="24"/>
              </w:rPr>
              <w:t>hubungan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620C21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lastRenderedPageBreak/>
              <w:t>Jenis:</w:t>
            </w:r>
          </w:p>
          <w:p w14:paraId="007822F6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1BE1EA19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44DE736F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31406A4E" w14:textId="57326BE5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87059A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lastRenderedPageBreak/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Ceramah</w:t>
            </w:r>
          </w:p>
          <w:p w14:paraId="0F3B0CB4" w14:textId="1EAD5448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lastRenderedPageBreak/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6D44F8A5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70392D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214D2590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lastRenderedPageBreak/>
              <w:t>Serikat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Kesepatan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Perjanjian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kerja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bersama</w:t>
            </w:r>
            <w:proofErr w:type="spellEnd"/>
            <w:r w:rsidRPr="00A67D0F">
              <w:rPr>
                <w:sz w:val="24"/>
                <w:szCs w:val="24"/>
              </w:rPr>
              <w:t>;</w:t>
            </w:r>
          </w:p>
          <w:p w14:paraId="5DAE3A70" w14:textId="24991F29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559764D8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lastRenderedPageBreak/>
              <w:t>5%</w:t>
            </w:r>
          </w:p>
        </w:tc>
      </w:tr>
      <w:tr w:rsidR="00A67D0F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6CDB6B14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Mahasiswa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mampu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bagaimana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aktivitas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bisnis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internasional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mempengaruhi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41455EA5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Ketepatan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menjelaskan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aktivitas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bisnis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internasional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memperngaruhi</w:t>
            </w:r>
            <w:proofErr w:type="spellEnd"/>
            <w:r w:rsidRPr="00A67D0F">
              <w:rPr>
                <w:sz w:val="24"/>
                <w:szCs w:val="24"/>
              </w:rPr>
              <w:t xml:space="preserve"> MSDM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E7C3FD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r w:rsidRPr="00A67D0F">
              <w:rPr>
                <w:b/>
                <w:sz w:val="24"/>
                <w:szCs w:val="24"/>
              </w:rPr>
              <w:t>Jenis:</w:t>
            </w:r>
          </w:p>
          <w:p w14:paraId="61568578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Tertulis</w:t>
            </w:r>
            <w:proofErr w:type="spellEnd"/>
            <w:r w:rsidRPr="00A67D0F">
              <w:rPr>
                <w:sz w:val="24"/>
                <w:szCs w:val="24"/>
              </w:rPr>
              <w:t xml:space="preserve"> dan/</w:t>
            </w:r>
            <w:proofErr w:type="spellStart"/>
            <w:r w:rsidRPr="00A67D0F">
              <w:rPr>
                <w:sz w:val="24"/>
                <w:szCs w:val="24"/>
              </w:rPr>
              <w:t>atau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gramStart"/>
            <w:r w:rsidRPr="00A67D0F">
              <w:rPr>
                <w:sz w:val="24"/>
                <w:szCs w:val="24"/>
              </w:rPr>
              <w:t>Non Test.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</w:p>
          <w:p w14:paraId="4F4B2E26" w14:textId="77777777" w:rsidR="00A67D0F" w:rsidRPr="00A67D0F" w:rsidRDefault="00A67D0F" w:rsidP="00A67D0F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A67D0F">
              <w:rPr>
                <w:b/>
                <w:sz w:val="24"/>
                <w:szCs w:val="24"/>
              </w:rPr>
              <w:t>Kriteria</w:t>
            </w:r>
            <w:proofErr w:type="spellEnd"/>
            <w:r w:rsidRPr="00A67D0F">
              <w:rPr>
                <w:b/>
                <w:sz w:val="24"/>
                <w:szCs w:val="24"/>
              </w:rPr>
              <w:t>:</w:t>
            </w:r>
          </w:p>
          <w:p w14:paraId="123654AE" w14:textId="77777777" w:rsidR="00A67D0F" w:rsidRPr="00A67D0F" w:rsidRDefault="00A67D0F" w:rsidP="00A67D0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Kesesuaian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Jawaban</w:t>
            </w:r>
            <w:proofErr w:type="spellEnd"/>
            <w:r w:rsidRPr="00A67D0F">
              <w:rPr>
                <w:sz w:val="24"/>
                <w:szCs w:val="24"/>
              </w:rPr>
              <w:t xml:space="preserve"> yang </w:t>
            </w:r>
            <w:proofErr w:type="spellStart"/>
            <w:r w:rsidRPr="00A67D0F">
              <w:rPr>
                <w:sz w:val="24"/>
                <w:szCs w:val="24"/>
              </w:rPr>
              <w:t>diberikan</w:t>
            </w:r>
            <w:proofErr w:type="spellEnd"/>
          </w:p>
          <w:p w14:paraId="5E854A16" w14:textId="770B4F22" w:rsidR="00A67D0F" w:rsidRPr="00A67D0F" w:rsidRDefault="00A67D0F" w:rsidP="00A67D0F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A223BF" w14:textId="77777777" w:rsidR="00A67D0F" w:rsidRPr="00A67D0F" w:rsidRDefault="00A67D0F" w:rsidP="00A67D0F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 </w:t>
            </w:r>
          </w:p>
          <w:p w14:paraId="3A7803C9" w14:textId="1E922BAC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color w:val="000000"/>
                <w:sz w:val="24"/>
                <w:szCs w:val="24"/>
                <w:lang w:val="en-ID"/>
              </w:rPr>
              <w:t xml:space="preserve">1x100 </w:t>
            </w:r>
            <w:proofErr w:type="spellStart"/>
            <w:r w:rsidRPr="00A67D0F">
              <w:rPr>
                <w:color w:val="000000"/>
                <w:sz w:val="24"/>
                <w:szCs w:val="24"/>
                <w:lang w:val="en-ID"/>
              </w:rPr>
              <w:t>menit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503160B9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E1AE1C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Materi:</w:t>
            </w:r>
          </w:p>
          <w:p w14:paraId="1D38EC28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Perecanaan</w:t>
            </w:r>
            <w:proofErr w:type="spellEnd"/>
            <w:r w:rsidRPr="00A67D0F">
              <w:rPr>
                <w:sz w:val="24"/>
                <w:szCs w:val="24"/>
              </w:rPr>
              <w:t xml:space="preserve"> MSDM </w:t>
            </w:r>
            <w:proofErr w:type="spellStart"/>
            <w:r w:rsidRPr="00A67D0F">
              <w:rPr>
                <w:sz w:val="24"/>
                <w:szCs w:val="24"/>
              </w:rPr>
              <w:t>secara</w:t>
            </w:r>
            <w:proofErr w:type="spellEnd"/>
            <w:r w:rsidRPr="00A67D0F">
              <w:rPr>
                <w:sz w:val="24"/>
                <w:szCs w:val="24"/>
              </w:rPr>
              <w:t xml:space="preserve"> global </w:t>
            </w:r>
            <w:proofErr w:type="spellStart"/>
            <w:r w:rsidRPr="00A67D0F">
              <w:rPr>
                <w:sz w:val="24"/>
                <w:szCs w:val="24"/>
              </w:rPr>
              <w:t>Perbedaan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praktek</w:t>
            </w:r>
            <w:proofErr w:type="spellEnd"/>
            <w:r w:rsidRPr="00A67D0F">
              <w:rPr>
                <w:sz w:val="24"/>
                <w:szCs w:val="24"/>
              </w:rPr>
              <w:t xml:space="preserve"> MSDM di </w:t>
            </w:r>
            <w:proofErr w:type="spellStart"/>
            <w:r w:rsidRPr="00A67D0F">
              <w:rPr>
                <w:sz w:val="24"/>
                <w:szCs w:val="24"/>
              </w:rPr>
              <w:t>berbagai</w:t>
            </w:r>
            <w:proofErr w:type="spellEnd"/>
            <w:r w:rsidRPr="00A67D0F">
              <w:rPr>
                <w:sz w:val="24"/>
                <w:szCs w:val="24"/>
              </w:rPr>
              <w:t xml:space="preserve"> negara;</w:t>
            </w:r>
          </w:p>
          <w:p w14:paraId="19EB9E05" w14:textId="79BE8673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br/>
              <w:t xml:space="preserve">Pustaka: </w:t>
            </w:r>
            <w:r w:rsidRPr="00A67D0F">
              <w:rPr>
                <w:sz w:val="24"/>
                <w:szCs w:val="24"/>
              </w:rPr>
              <w:br/>
            </w:r>
            <w:proofErr w:type="spellStart"/>
            <w:r w:rsidRPr="00A67D0F">
              <w:rPr>
                <w:sz w:val="24"/>
                <w:szCs w:val="24"/>
              </w:rPr>
              <w:t>Buku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46E2F35A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10</w:t>
            </w:r>
            <w:r w:rsidRPr="00A67D0F">
              <w:rPr>
                <w:sz w:val="24"/>
                <w:szCs w:val="24"/>
              </w:rPr>
              <w:t>%</w:t>
            </w:r>
          </w:p>
        </w:tc>
      </w:tr>
      <w:tr w:rsidR="00A67D0F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A67D0F" w:rsidRDefault="00A67D0F" w:rsidP="00A67D0F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17B5D9E2" w:rsidR="00A67D0F" w:rsidRPr="00A67D0F" w:rsidRDefault="00A67D0F" w:rsidP="00A67D0F">
            <w:pPr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A67D0F" w:rsidRPr="00A67D0F" w:rsidRDefault="00A67D0F" w:rsidP="00A67D0F">
            <w:pPr>
              <w:rPr>
                <w:sz w:val="24"/>
                <w:szCs w:val="24"/>
              </w:rPr>
            </w:pPr>
            <w:proofErr w:type="spellStart"/>
            <w:r w:rsidRPr="00A67D0F">
              <w:rPr>
                <w:sz w:val="24"/>
                <w:szCs w:val="24"/>
              </w:rPr>
              <w:t>Bentuk</w:t>
            </w:r>
            <w:proofErr w:type="spell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7D0F">
              <w:rPr>
                <w:sz w:val="24"/>
                <w:szCs w:val="24"/>
              </w:rPr>
              <w:t>Penilaian</w:t>
            </w:r>
            <w:proofErr w:type="spellEnd"/>
            <w:r w:rsidRPr="00A67D0F">
              <w:rPr>
                <w:sz w:val="24"/>
                <w:szCs w:val="24"/>
              </w:rPr>
              <w:t xml:space="preserve"> :</w:t>
            </w:r>
            <w:proofErr w:type="gramEnd"/>
            <w:r w:rsidRPr="00A67D0F">
              <w:rPr>
                <w:sz w:val="24"/>
                <w:szCs w:val="24"/>
              </w:rPr>
              <w:t xml:space="preserve"> </w:t>
            </w:r>
            <w:proofErr w:type="spellStart"/>
            <w:r w:rsidRPr="00A67D0F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A67D0F" w:rsidRPr="00A67D0F" w:rsidRDefault="00A67D0F" w:rsidP="00A67D0F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0C72B524" w:rsidR="00A67D0F" w:rsidRPr="00A67D0F" w:rsidRDefault="00A67D0F" w:rsidP="00A67D0F">
            <w:pPr>
              <w:jc w:val="center"/>
              <w:rPr>
                <w:sz w:val="24"/>
                <w:szCs w:val="24"/>
              </w:rPr>
            </w:pPr>
            <w:r w:rsidRPr="00A67D0F">
              <w:rPr>
                <w:sz w:val="24"/>
                <w:szCs w:val="24"/>
              </w:rPr>
              <w:t>1</w:t>
            </w:r>
            <w:r w:rsidRPr="00A67D0F">
              <w:rPr>
                <w:sz w:val="24"/>
                <w:szCs w:val="24"/>
              </w:rPr>
              <w:t>5%</w:t>
            </w:r>
          </w:p>
        </w:tc>
      </w:tr>
    </w:tbl>
    <w:p w14:paraId="210FDBF7" w14:textId="77777777" w:rsidR="00AF648D" w:rsidRPr="00A67D0F" w:rsidRDefault="00DA069A">
      <w:pPr>
        <w:ind w:left="7200" w:firstLine="720"/>
        <w:jc w:val="both"/>
        <w:rPr>
          <w:rFonts w:eastAsia="Calibri"/>
          <w:sz w:val="24"/>
          <w:szCs w:val="24"/>
        </w:rPr>
      </w:pPr>
      <w:r w:rsidRPr="00A67D0F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A67D0F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A67D0F">
        <w:rPr>
          <w:rFonts w:eastAsia="Calibri"/>
          <w:color w:val="000000"/>
          <w:sz w:val="24"/>
          <w:szCs w:val="24"/>
        </w:rPr>
        <w:t>Ketua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Program Studi </w:t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</w:r>
      <w:r w:rsidRPr="00A67D0F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Pengampu</w:t>
      </w:r>
      <w:proofErr w:type="spellEnd"/>
      <w:r w:rsidRPr="00A67D0F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A67D0F" w:rsidRDefault="00DA069A">
      <w:pPr>
        <w:jc w:val="both"/>
        <w:rPr>
          <w:rFonts w:eastAsia="Calibri"/>
          <w:sz w:val="24"/>
          <w:szCs w:val="24"/>
        </w:rPr>
      </w:pPr>
      <w:r w:rsidRPr="00A67D0F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A67D0F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A67D0F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A67D0F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41DEC846" w:rsidR="00AF648D" w:rsidRPr="00A67D0F" w:rsidRDefault="00B87CAC">
      <w:pPr>
        <w:rPr>
          <w:bCs/>
          <w:sz w:val="24"/>
          <w:szCs w:val="24"/>
        </w:rPr>
      </w:pPr>
      <w:r w:rsidRPr="00A67D0F">
        <w:rPr>
          <w:b/>
          <w:bCs/>
          <w:sz w:val="24"/>
          <w:szCs w:val="24"/>
        </w:rPr>
        <w:t xml:space="preserve">Nadi </w:t>
      </w:r>
      <w:proofErr w:type="spellStart"/>
      <w:r w:rsidRPr="00A67D0F">
        <w:rPr>
          <w:b/>
          <w:bCs/>
          <w:sz w:val="24"/>
          <w:szCs w:val="24"/>
        </w:rPr>
        <w:t>Hernadi</w:t>
      </w:r>
      <w:proofErr w:type="spellEnd"/>
      <w:r w:rsidRPr="00A67D0F">
        <w:rPr>
          <w:b/>
          <w:bCs/>
          <w:sz w:val="24"/>
          <w:szCs w:val="24"/>
        </w:rPr>
        <w:t xml:space="preserve"> </w:t>
      </w:r>
      <w:proofErr w:type="spellStart"/>
      <w:r w:rsidRPr="00A67D0F">
        <w:rPr>
          <w:b/>
          <w:bCs/>
          <w:sz w:val="24"/>
          <w:szCs w:val="24"/>
        </w:rPr>
        <w:t>Moorcy</w:t>
      </w:r>
      <w:proofErr w:type="spellEnd"/>
      <w:r w:rsidRPr="00A67D0F">
        <w:rPr>
          <w:b/>
          <w:bCs/>
          <w:sz w:val="24"/>
          <w:szCs w:val="24"/>
        </w:rPr>
        <w:t>, S.E., M.M.</w:t>
      </w:r>
      <w:r w:rsidR="00DA069A" w:rsidRPr="00A67D0F">
        <w:rPr>
          <w:b/>
          <w:color w:val="000000"/>
          <w:sz w:val="24"/>
          <w:szCs w:val="24"/>
        </w:rPr>
        <w:tab/>
        <w:t xml:space="preserve">  </w:t>
      </w:r>
      <w:r w:rsidR="00DA069A" w:rsidRPr="00A67D0F">
        <w:rPr>
          <w:b/>
          <w:color w:val="000000"/>
          <w:sz w:val="24"/>
          <w:szCs w:val="24"/>
        </w:rPr>
        <w:tab/>
      </w:r>
      <w:r w:rsidR="00DA069A" w:rsidRPr="00A67D0F">
        <w:rPr>
          <w:b/>
          <w:color w:val="000000"/>
          <w:sz w:val="24"/>
          <w:szCs w:val="24"/>
        </w:rPr>
        <w:tab/>
      </w:r>
      <w:r w:rsidR="00DA069A" w:rsidRPr="00A67D0F">
        <w:rPr>
          <w:b/>
          <w:color w:val="000000"/>
          <w:sz w:val="24"/>
          <w:szCs w:val="24"/>
        </w:rPr>
        <w:tab/>
      </w:r>
      <w:r w:rsidR="00DA069A" w:rsidRPr="00A67D0F">
        <w:rPr>
          <w:b/>
          <w:color w:val="000000"/>
          <w:sz w:val="24"/>
          <w:szCs w:val="24"/>
        </w:rPr>
        <w:tab/>
      </w:r>
      <w:r w:rsidRPr="00A67D0F">
        <w:rPr>
          <w:b/>
          <w:color w:val="000000"/>
          <w:sz w:val="24"/>
          <w:szCs w:val="24"/>
        </w:rPr>
        <w:tab/>
      </w:r>
      <w:r w:rsidRPr="00A67D0F">
        <w:rPr>
          <w:b/>
          <w:color w:val="000000"/>
          <w:sz w:val="24"/>
          <w:szCs w:val="24"/>
        </w:rPr>
        <w:tab/>
      </w:r>
      <w:r w:rsidR="008077AA" w:rsidRPr="00A67D0F">
        <w:rPr>
          <w:b/>
          <w:color w:val="000000"/>
          <w:sz w:val="24"/>
          <w:szCs w:val="24"/>
        </w:rPr>
        <w:t xml:space="preserve">Dr. Didik </w:t>
      </w:r>
      <w:proofErr w:type="spellStart"/>
      <w:r w:rsidR="008077AA" w:rsidRPr="00A67D0F">
        <w:rPr>
          <w:b/>
          <w:color w:val="000000"/>
          <w:sz w:val="24"/>
          <w:szCs w:val="24"/>
        </w:rPr>
        <w:t>Hadiyatno</w:t>
      </w:r>
      <w:proofErr w:type="spellEnd"/>
      <w:r w:rsidR="008077AA" w:rsidRPr="00A67D0F">
        <w:rPr>
          <w:b/>
          <w:color w:val="000000"/>
          <w:sz w:val="24"/>
          <w:szCs w:val="24"/>
        </w:rPr>
        <w:t xml:space="preserve">, S.E., </w:t>
      </w:r>
      <w:proofErr w:type="spellStart"/>
      <w:r w:rsidR="008077AA" w:rsidRPr="00A67D0F">
        <w:rPr>
          <w:b/>
          <w:color w:val="000000"/>
          <w:sz w:val="24"/>
          <w:szCs w:val="24"/>
        </w:rPr>
        <w:t>M.Si</w:t>
      </w:r>
      <w:proofErr w:type="spellEnd"/>
      <w:r w:rsidR="008077AA" w:rsidRPr="00A67D0F">
        <w:rPr>
          <w:b/>
          <w:color w:val="000000"/>
          <w:sz w:val="24"/>
          <w:szCs w:val="24"/>
        </w:rPr>
        <w:t>.</w:t>
      </w:r>
      <w:r w:rsidR="00DA069A" w:rsidRPr="00A67D0F">
        <w:rPr>
          <w:b/>
          <w:color w:val="000000"/>
          <w:sz w:val="24"/>
          <w:szCs w:val="24"/>
        </w:rPr>
        <w:tab/>
      </w:r>
      <w:r w:rsidR="00DA069A" w:rsidRPr="00A67D0F">
        <w:rPr>
          <w:b/>
          <w:color w:val="000000"/>
          <w:sz w:val="24"/>
          <w:szCs w:val="24"/>
        </w:rPr>
        <w:tab/>
      </w:r>
    </w:p>
    <w:p w14:paraId="217E878C" w14:textId="77777777" w:rsidR="008077AA" w:rsidRPr="00A67D0F" w:rsidRDefault="00DA069A" w:rsidP="008077AA">
      <w:pPr>
        <w:rPr>
          <w:rFonts w:eastAsia="Calibri"/>
          <w:sz w:val="24"/>
          <w:szCs w:val="24"/>
        </w:rPr>
      </w:pPr>
      <w:r w:rsidRPr="00A67D0F">
        <w:rPr>
          <w:b/>
          <w:color w:val="000000"/>
          <w:sz w:val="24"/>
          <w:szCs w:val="24"/>
          <w:highlight w:val="white"/>
        </w:rPr>
        <w:t>NIK. 015 0</w:t>
      </w:r>
      <w:r w:rsidR="00B87CAC" w:rsidRPr="00A67D0F">
        <w:rPr>
          <w:b/>
          <w:color w:val="000000"/>
          <w:sz w:val="24"/>
          <w:szCs w:val="24"/>
          <w:highlight w:val="white"/>
        </w:rPr>
        <w:t>04 046</w:t>
      </w:r>
      <w:r w:rsidRPr="00A67D0F">
        <w:rPr>
          <w:b/>
          <w:color w:val="000000"/>
          <w:sz w:val="24"/>
          <w:szCs w:val="24"/>
          <w:highlight w:val="white"/>
        </w:rPr>
        <w:tab/>
      </w:r>
      <w:r w:rsidRPr="00A67D0F">
        <w:rPr>
          <w:b/>
          <w:color w:val="000000"/>
          <w:sz w:val="24"/>
          <w:szCs w:val="24"/>
          <w:highlight w:val="white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color w:val="000000"/>
          <w:sz w:val="24"/>
          <w:szCs w:val="24"/>
        </w:rPr>
        <w:tab/>
      </w:r>
      <w:r w:rsidRPr="00A67D0F">
        <w:rPr>
          <w:b/>
          <w:color w:val="000000"/>
          <w:sz w:val="24"/>
          <w:szCs w:val="24"/>
        </w:rPr>
        <w:t xml:space="preserve">NIDN. </w:t>
      </w:r>
      <w:r w:rsidR="008077AA" w:rsidRPr="00A67D0F">
        <w:rPr>
          <w:b/>
          <w:color w:val="000000"/>
          <w:sz w:val="24"/>
          <w:szCs w:val="24"/>
        </w:rPr>
        <w:t>1106106101</w:t>
      </w:r>
    </w:p>
    <w:p w14:paraId="7DAF5B48" w14:textId="0E22C46E" w:rsidR="00AF648D" w:rsidRPr="00A67D0F" w:rsidRDefault="00AF648D">
      <w:pPr>
        <w:rPr>
          <w:rFonts w:eastAsia="Calibri"/>
          <w:sz w:val="24"/>
          <w:szCs w:val="24"/>
        </w:rPr>
      </w:pPr>
    </w:p>
    <w:p w14:paraId="4B4DCB59" w14:textId="77777777" w:rsidR="00AF648D" w:rsidRPr="00A67D0F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A67D0F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A67D0F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A67D0F">
        <w:rPr>
          <w:rFonts w:eastAsia="Calibri"/>
          <w:b/>
          <w:sz w:val="24"/>
          <w:szCs w:val="24"/>
        </w:rPr>
        <w:t xml:space="preserve"> :</w:t>
      </w:r>
      <w:proofErr w:type="gramEnd"/>
      <w:r w:rsidRPr="00A67D0F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dimiliki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setiap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lulusan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sikap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sesuai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dengan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jenjang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prodinya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diperoleh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melalui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7D0F">
        <w:rPr>
          <w:rFonts w:eastAsia="Calibri"/>
          <w:b/>
          <w:color w:val="000000"/>
          <w:sz w:val="24"/>
          <w:szCs w:val="24"/>
        </w:rPr>
        <w:lastRenderedPageBreak/>
        <w:t xml:space="preserve">CPL yang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beberapa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capaian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lulusan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studi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untuk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A67D0F">
        <w:rPr>
          <w:rFonts w:eastAsia="Calibri"/>
          <w:color w:val="000000"/>
          <w:sz w:val="24"/>
          <w:szCs w:val="24"/>
        </w:rPr>
        <w:t>/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sebuah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terdiri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aspek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sikap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umum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khusus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7D0F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(CPMK)</w:t>
      </w:r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secara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bersifat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bahan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kajian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materi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tersebut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7D0F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secara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dapat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diukur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diamati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akhir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tiap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tahap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bersifat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materi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mata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tersebut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dalam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maupun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hasil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belajar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spesifik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terukur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kemampuan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kinerja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hasil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belajar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mahasiswa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disertai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patokan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digunakan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sebagai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ukuran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tolok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ukur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dalam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Kreteria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merupakan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pedoman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bagi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penilai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konsisten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tidak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Kreteria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dapat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berupa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ataupun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tes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tes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>:</w:t>
      </w:r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Kuliah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Responsi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setara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Praktikum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Praktik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Praktik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Bengkel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Praktik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Lapangan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Kepada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bentuk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setara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7D0F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>:</w:t>
      </w:r>
      <w:r w:rsidRPr="00A67D0F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metode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lainnya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yg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setara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A67D0F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rincian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atau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uraian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dari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bahan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kajian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yg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dapat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disajikan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dalam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bentuk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beberapa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pokok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A67D0F">
        <w:rPr>
          <w:rFonts w:eastAsia="Calibri"/>
          <w:color w:val="000000"/>
          <w:sz w:val="24"/>
          <w:szCs w:val="24"/>
        </w:rPr>
        <w:t>pokok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bahasan</w:t>
      </w:r>
      <w:proofErr w:type="spellEnd"/>
      <w:r w:rsidRPr="00A67D0F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A67D0F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A67D0F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adalah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penilaian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terhadap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setiap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besarnya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dengan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tingkat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kesulitan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tsb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totalnya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A67D0F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A67D0F">
        <w:rPr>
          <w:rFonts w:eastAsia="Calibri"/>
          <w:color w:val="000000"/>
          <w:sz w:val="24"/>
          <w:szCs w:val="24"/>
        </w:rPr>
        <w:t>TM=</w:t>
      </w:r>
      <w:proofErr w:type="spellStart"/>
      <w:r w:rsidRPr="00A67D0F">
        <w:rPr>
          <w:rFonts w:eastAsia="Calibri"/>
          <w:color w:val="000000"/>
          <w:sz w:val="24"/>
          <w:szCs w:val="24"/>
        </w:rPr>
        <w:t>Tatap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A67D0F">
        <w:rPr>
          <w:rFonts w:eastAsia="Calibri"/>
          <w:color w:val="000000"/>
          <w:sz w:val="24"/>
          <w:szCs w:val="24"/>
        </w:rPr>
        <w:t>Penugasan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A67D0F">
        <w:rPr>
          <w:rFonts w:eastAsia="Calibri"/>
          <w:color w:val="000000"/>
          <w:sz w:val="24"/>
          <w:szCs w:val="24"/>
        </w:rPr>
        <w:t>, BM=</w:t>
      </w:r>
      <w:proofErr w:type="spellStart"/>
      <w:r w:rsidRPr="00A67D0F">
        <w:rPr>
          <w:rFonts w:eastAsia="Calibri"/>
          <w:color w:val="000000"/>
          <w:sz w:val="24"/>
          <w:szCs w:val="24"/>
        </w:rPr>
        <w:t>Belajar</w:t>
      </w:r>
      <w:proofErr w:type="spellEnd"/>
      <w:r w:rsidRPr="00A67D0F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A67D0F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A67D0F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702D1"/>
    <w:multiLevelType w:val="hybridMultilevel"/>
    <w:tmpl w:val="B25A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00C81"/>
    <w:multiLevelType w:val="hybridMultilevel"/>
    <w:tmpl w:val="0BC83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97391">
    <w:abstractNumId w:val="1"/>
  </w:num>
  <w:num w:numId="2" w16cid:durableId="1252004476">
    <w:abstractNumId w:val="2"/>
  </w:num>
  <w:num w:numId="3" w16cid:durableId="1238244830">
    <w:abstractNumId w:val="5"/>
  </w:num>
  <w:num w:numId="4" w16cid:durableId="1859925341">
    <w:abstractNumId w:val="3"/>
  </w:num>
  <w:num w:numId="5" w16cid:durableId="1328629221">
    <w:abstractNumId w:val="4"/>
  </w:num>
  <w:num w:numId="6" w16cid:durableId="829298193">
    <w:abstractNumId w:val="7"/>
  </w:num>
  <w:num w:numId="7" w16cid:durableId="1713650421">
    <w:abstractNumId w:val="6"/>
  </w:num>
  <w:num w:numId="8" w16cid:durableId="1635063923">
    <w:abstractNumId w:val="9"/>
  </w:num>
  <w:num w:numId="9" w16cid:durableId="262885961">
    <w:abstractNumId w:val="8"/>
  </w:num>
  <w:num w:numId="10" w16cid:durableId="174922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A6C0E"/>
    <w:rsid w:val="000D0DD7"/>
    <w:rsid w:val="000E0B5D"/>
    <w:rsid w:val="00135BD1"/>
    <w:rsid w:val="001A35A2"/>
    <w:rsid w:val="00211AEA"/>
    <w:rsid w:val="00211ED3"/>
    <w:rsid w:val="00345A0C"/>
    <w:rsid w:val="003A2E0D"/>
    <w:rsid w:val="003C41C3"/>
    <w:rsid w:val="004C047A"/>
    <w:rsid w:val="00582BBC"/>
    <w:rsid w:val="006735CE"/>
    <w:rsid w:val="007905A3"/>
    <w:rsid w:val="008077AA"/>
    <w:rsid w:val="008272BF"/>
    <w:rsid w:val="0085223F"/>
    <w:rsid w:val="00896E53"/>
    <w:rsid w:val="008F6BDF"/>
    <w:rsid w:val="0095508B"/>
    <w:rsid w:val="009846F3"/>
    <w:rsid w:val="009C3CC7"/>
    <w:rsid w:val="009C4FDD"/>
    <w:rsid w:val="00A4072A"/>
    <w:rsid w:val="00A67D0F"/>
    <w:rsid w:val="00AF648D"/>
    <w:rsid w:val="00B87CAC"/>
    <w:rsid w:val="00C96974"/>
    <w:rsid w:val="00CC3FF7"/>
    <w:rsid w:val="00CE5E57"/>
    <w:rsid w:val="00D16456"/>
    <w:rsid w:val="00DA069A"/>
    <w:rsid w:val="00DF2E0E"/>
    <w:rsid w:val="00E253CA"/>
    <w:rsid w:val="00E7660F"/>
    <w:rsid w:val="00F16278"/>
    <w:rsid w:val="00F322AD"/>
    <w:rsid w:val="00F85522"/>
    <w:rsid w:val="00F94A79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5</cp:revision>
  <cp:lastPrinted>2024-03-11T07:56:00Z</cp:lastPrinted>
  <dcterms:created xsi:type="dcterms:W3CDTF">2024-08-19T03:30:00Z</dcterms:created>
  <dcterms:modified xsi:type="dcterms:W3CDTF">2024-08-23T03:54:00Z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